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D117" w14:textId="73266F60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 xml:space="preserve">Johan </w:t>
      </w:r>
      <w:r w:rsidR="00526E2D" w:rsidRPr="00804010">
        <w:rPr>
          <w:rFonts w:asciiTheme="minorHAnsi" w:hAnsiTheme="minorHAnsi" w:cstheme="minorHAnsi"/>
          <w:sz w:val="22"/>
          <w:szCs w:val="22"/>
        </w:rPr>
        <w:t>LEVILLAIN</w:t>
      </w:r>
    </w:p>
    <w:p w14:paraId="193DFDAB" w14:textId="77777777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D9CE3" w14:textId="03316ADA" w:rsidR="00455696" w:rsidRPr="00804010" w:rsidRDefault="002355FF" w:rsidP="002355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010">
        <w:rPr>
          <w:rFonts w:asciiTheme="minorHAnsi" w:hAnsiTheme="minorHAnsi" w:cstheme="minorHAnsi"/>
          <w:b/>
          <w:bCs/>
          <w:sz w:val="22"/>
          <w:szCs w:val="22"/>
        </w:rPr>
        <w:t>Biographie</w:t>
      </w:r>
    </w:p>
    <w:p w14:paraId="63EC5923" w14:textId="2A04E38B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D1BFA" w14:textId="36270ECD" w:rsidR="005416F6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 xml:space="preserve">Johan Levillain est doctorant contractuel (EPHE-EFEO) et travaille sous la direction de Charlotte Schmid (EPHE-EFEO) et Adam Hardy (Cardiff </w:t>
      </w:r>
      <w:proofErr w:type="spellStart"/>
      <w:r w:rsidRPr="00804010">
        <w:rPr>
          <w:rFonts w:asciiTheme="minorHAnsi" w:hAnsiTheme="minorHAnsi" w:cstheme="minorHAnsi"/>
          <w:sz w:val="22"/>
          <w:szCs w:val="22"/>
        </w:rPr>
        <w:t>University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>). Après l’obtention d’une licence de lettres modernes à l’université de Caen en 2011, Johan Levillain entame un cursus en histoire de l’art et muséologie à l’École du Louvre, où il se spécialise dans l’art de l’Asie du Sud. Il obtient un diplôme de premier cycle (niveau licence) en 2014 puis de deuxième cycle (</w:t>
      </w:r>
      <w:r w:rsidR="00E706CA" w:rsidRPr="00804010">
        <w:rPr>
          <w:rFonts w:asciiTheme="minorHAnsi" w:hAnsiTheme="minorHAnsi" w:cstheme="minorHAnsi"/>
          <w:sz w:val="22"/>
          <w:szCs w:val="22"/>
        </w:rPr>
        <w:t>niveau</w:t>
      </w:r>
      <w:r w:rsidRPr="00804010">
        <w:rPr>
          <w:rFonts w:asciiTheme="minorHAnsi" w:hAnsiTheme="minorHAnsi" w:cstheme="minorHAnsi"/>
          <w:sz w:val="22"/>
          <w:szCs w:val="22"/>
        </w:rPr>
        <w:t xml:space="preserve"> master) en 2016, après validation d’un mémoire de recherche consacré au décor architectural de </w:t>
      </w:r>
      <w:proofErr w:type="spellStart"/>
      <w:r w:rsidRPr="00804010">
        <w:rPr>
          <w:rFonts w:asciiTheme="minorHAnsi" w:hAnsiTheme="minorHAnsi" w:cstheme="minorHAnsi"/>
          <w:sz w:val="22"/>
          <w:szCs w:val="22"/>
        </w:rPr>
        <w:t>Mahasthan</w:t>
      </w:r>
      <w:r w:rsidR="00E706CA" w:rsidRPr="00804010">
        <w:rPr>
          <w:rFonts w:asciiTheme="minorHAnsi" w:hAnsiTheme="minorHAnsi" w:cstheme="minorHAnsi"/>
          <w:sz w:val="22"/>
          <w:szCs w:val="22"/>
        </w:rPr>
        <w:t>garh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 xml:space="preserve"> au Bangladesh, rédigé sous la direction de Vincent Lefèvre (Sorbonne Nouvelle Paris 3). En 2017, il obtient une lice</w:t>
      </w:r>
      <w:r w:rsidR="00E706CA" w:rsidRPr="00804010">
        <w:rPr>
          <w:rFonts w:asciiTheme="minorHAnsi" w:hAnsiTheme="minorHAnsi" w:cstheme="minorHAnsi"/>
          <w:sz w:val="22"/>
          <w:szCs w:val="22"/>
        </w:rPr>
        <w:t xml:space="preserve">nce d’études indiennes à la Sorbonne Nouvelle Paris 3 et entame son doctorat, dont </w:t>
      </w:r>
      <w:r w:rsidR="00C73794" w:rsidRPr="00804010">
        <w:rPr>
          <w:rFonts w:asciiTheme="minorHAnsi" w:hAnsiTheme="minorHAnsi" w:cstheme="minorHAnsi"/>
          <w:sz w:val="22"/>
          <w:szCs w:val="22"/>
        </w:rPr>
        <w:t>la</w:t>
      </w:r>
      <w:r w:rsidR="00E706CA" w:rsidRPr="00804010">
        <w:rPr>
          <w:rFonts w:asciiTheme="minorHAnsi" w:hAnsiTheme="minorHAnsi" w:cstheme="minorHAnsi"/>
          <w:sz w:val="22"/>
          <w:szCs w:val="22"/>
        </w:rPr>
        <w:t xml:space="preserve"> thèse cherche </w:t>
      </w:r>
      <w:r w:rsidR="00C73794" w:rsidRPr="00804010">
        <w:rPr>
          <w:rFonts w:asciiTheme="minorHAnsi" w:hAnsiTheme="minorHAnsi" w:cstheme="minorHAnsi"/>
          <w:sz w:val="22"/>
          <w:szCs w:val="22"/>
        </w:rPr>
        <w:t>à définir</w:t>
      </w:r>
      <w:r w:rsidR="00E706CA" w:rsidRPr="00804010">
        <w:rPr>
          <w:rFonts w:asciiTheme="minorHAnsi" w:hAnsiTheme="minorHAnsi" w:cstheme="minorHAnsi"/>
          <w:sz w:val="22"/>
          <w:szCs w:val="22"/>
        </w:rPr>
        <w:t xml:space="preserve"> une culture régionale à </w:t>
      </w:r>
      <w:proofErr w:type="spellStart"/>
      <w:r w:rsidR="00E706CA" w:rsidRPr="00804010">
        <w:rPr>
          <w:rFonts w:asciiTheme="minorHAnsi" w:hAnsiTheme="minorHAnsi" w:cstheme="minorHAnsi"/>
          <w:sz w:val="22"/>
          <w:szCs w:val="22"/>
        </w:rPr>
        <w:t>Āśāpurī</w:t>
      </w:r>
      <w:proofErr w:type="spellEnd"/>
      <w:r w:rsidR="00E706CA" w:rsidRPr="00804010">
        <w:rPr>
          <w:rFonts w:asciiTheme="minorHAnsi" w:hAnsiTheme="minorHAnsi" w:cstheme="minorHAnsi"/>
          <w:sz w:val="22"/>
          <w:szCs w:val="22"/>
        </w:rPr>
        <w:t xml:space="preserve">, au </w:t>
      </w:r>
      <w:proofErr w:type="spellStart"/>
      <w:r w:rsidR="00E706CA" w:rsidRPr="00804010">
        <w:rPr>
          <w:rFonts w:asciiTheme="minorHAnsi" w:hAnsiTheme="minorHAnsi" w:cstheme="minorHAnsi"/>
          <w:sz w:val="22"/>
          <w:szCs w:val="22"/>
        </w:rPr>
        <w:t>Madhya</w:t>
      </w:r>
      <w:proofErr w:type="spellEnd"/>
      <w:r w:rsidR="00E706CA" w:rsidRPr="00804010">
        <w:rPr>
          <w:rFonts w:asciiTheme="minorHAnsi" w:hAnsiTheme="minorHAnsi" w:cstheme="minorHAnsi"/>
          <w:sz w:val="22"/>
          <w:szCs w:val="22"/>
        </w:rPr>
        <w:t xml:space="preserve"> Pradesh, entre les </w:t>
      </w:r>
      <w:r w:rsidR="00E706CA" w:rsidRPr="00804010">
        <w:rPr>
          <w:rFonts w:asciiTheme="minorHAnsi" w:hAnsiTheme="minorHAnsi" w:cstheme="minorHAnsi"/>
          <w:smallCaps/>
          <w:sz w:val="22"/>
          <w:szCs w:val="22"/>
        </w:rPr>
        <w:t>ix</w:t>
      </w:r>
      <w:r w:rsidR="00E706CA" w:rsidRPr="0080401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="00E706CA" w:rsidRPr="00804010">
        <w:rPr>
          <w:rFonts w:asciiTheme="minorHAnsi" w:hAnsiTheme="minorHAnsi" w:cstheme="minorHAnsi"/>
          <w:sz w:val="22"/>
          <w:szCs w:val="22"/>
        </w:rPr>
        <w:t xml:space="preserve"> et </w:t>
      </w:r>
      <w:proofErr w:type="spellStart"/>
      <w:r w:rsidR="00E706CA" w:rsidRPr="00804010">
        <w:rPr>
          <w:rFonts w:asciiTheme="minorHAnsi" w:hAnsiTheme="minorHAnsi" w:cstheme="minorHAnsi"/>
          <w:smallCaps/>
          <w:sz w:val="22"/>
          <w:szCs w:val="22"/>
        </w:rPr>
        <w:t>xi</w:t>
      </w:r>
      <w:r w:rsidR="00E706CA" w:rsidRPr="00804010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proofErr w:type="spellEnd"/>
      <w:r w:rsidR="00E706CA" w:rsidRPr="00804010">
        <w:rPr>
          <w:rFonts w:asciiTheme="minorHAnsi" w:hAnsiTheme="minorHAnsi" w:cstheme="minorHAnsi"/>
          <w:sz w:val="22"/>
          <w:szCs w:val="22"/>
        </w:rPr>
        <w:t xml:space="preserve"> siècles.</w:t>
      </w:r>
      <w:r w:rsidR="005416F6" w:rsidRPr="00804010">
        <w:rPr>
          <w:rFonts w:asciiTheme="minorHAnsi" w:hAnsiTheme="minorHAnsi" w:cstheme="minorHAnsi"/>
          <w:sz w:val="22"/>
          <w:szCs w:val="22"/>
        </w:rPr>
        <w:t xml:space="preserve"> Cette étude se fonde principalement sur un abondant corpus matériel – sculpture et architecture – examiné dans ses détails stylistiques</w:t>
      </w:r>
      <w:r w:rsidR="00C73794" w:rsidRPr="00804010">
        <w:rPr>
          <w:rFonts w:asciiTheme="minorHAnsi" w:hAnsiTheme="minorHAnsi" w:cstheme="minorHAnsi"/>
          <w:sz w:val="22"/>
          <w:szCs w:val="22"/>
        </w:rPr>
        <w:t>,</w:t>
      </w:r>
      <w:r w:rsidR="005416F6" w:rsidRPr="00804010">
        <w:rPr>
          <w:rFonts w:asciiTheme="minorHAnsi" w:hAnsiTheme="minorHAnsi" w:cstheme="minorHAnsi"/>
          <w:sz w:val="22"/>
          <w:szCs w:val="22"/>
        </w:rPr>
        <w:t xml:space="preserve"> iconographiques</w:t>
      </w:r>
      <w:r w:rsidR="00C73794" w:rsidRPr="00804010">
        <w:rPr>
          <w:rFonts w:asciiTheme="minorHAnsi" w:hAnsiTheme="minorHAnsi" w:cstheme="minorHAnsi"/>
          <w:sz w:val="22"/>
          <w:szCs w:val="22"/>
        </w:rPr>
        <w:t xml:space="preserve"> et contextuels</w:t>
      </w:r>
      <w:r w:rsidR="005416F6" w:rsidRPr="0080401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8C44E93" w14:textId="1344C80B" w:rsidR="002355FF" w:rsidRPr="00804010" w:rsidRDefault="00E706CA" w:rsidP="002355FF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En parallèle, Johan Levillain travaille au service des publications de l’EFEO et enseigne l’histoire de l’art de l’Inde et des espaces indianisés de l’Asie du Sud-Est à l’École du Louvre.</w:t>
      </w:r>
    </w:p>
    <w:p w14:paraId="50BB090A" w14:textId="69086B79" w:rsidR="00E706CA" w:rsidRPr="00804010" w:rsidRDefault="00E706CA" w:rsidP="002355FF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 xml:space="preserve">Soucieux de faire le lien entre les mondes des musées, des universités et du marché de l’art, Johan Levillain est également éditeur assistant pour la revue </w:t>
      </w:r>
      <w:r w:rsidRPr="00804010">
        <w:rPr>
          <w:rFonts w:asciiTheme="minorHAnsi" w:hAnsiTheme="minorHAnsi" w:cstheme="minorHAnsi"/>
          <w:i/>
          <w:sz w:val="22"/>
          <w:szCs w:val="22"/>
        </w:rPr>
        <w:t>Convergence</w:t>
      </w:r>
      <w:r w:rsidRPr="00804010">
        <w:rPr>
          <w:rFonts w:asciiTheme="minorHAnsi" w:hAnsiTheme="minorHAnsi" w:cstheme="minorHAnsi"/>
          <w:iCs/>
          <w:sz w:val="22"/>
          <w:szCs w:val="22"/>
        </w:rPr>
        <w:t>, destinée au grand public et consacrée aux arts d’Afrique, des Amériques, d’Asie et d’Océanie.</w:t>
      </w:r>
    </w:p>
    <w:p w14:paraId="3B12C9E2" w14:textId="77777777" w:rsidR="00E706CA" w:rsidRPr="00804010" w:rsidRDefault="00E706CA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CDD0D6" w14:textId="7BC51CAD" w:rsidR="00E706CA" w:rsidRPr="00804010" w:rsidRDefault="00E706CA" w:rsidP="002355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010">
        <w:rPr>
          <w:rFonts w:asciiTheme="minorHAnsi" w:hAnsiTheme="minorHAnsi" w:cstheme="minorHAnsi"/>
          <w:b/>
          <w:bCs/>
          <w:sz w:val="22"/>
          <w:szCs w:val="22"/>
        </w:rPr>
        <w:t>Domaine de recherche</w:t>
      </w:r>
    </w:p>
    <w:p w14:paraId="1269BCB6" w14:textId="77777777" w:rsidR="005416F6" w:rsidRPr="00804010" w:rsidRDefault="005416F6" w:rsidP="00E706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2C5F04" w14:textId="11232ECE" w:rsidR="005416F6" w:rsidRPr="00804010" w:rsidRDefault="005416F6" w:rsidP="005416F6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Les enjeux des recherches de Johan Levillain sont les suivants : mettre à l’épreuve les modèles théoriques du premier âge médiéval (</w:t>
      </w:r>
      <w:proofErr w:type="spellStart"/>
      <w:r w:rsidRPr="00804010">
        <w:rPr>
          <w:rFonts w:asciiTheme="minorHAnsi" w:hAnsiTheme="minorHAnsi" w:cstheme="minorHAnsi"/>
          <w:i/>
          <w:iCs/>
          <w:sz w:val="22"/>
          <w:szCs w:val="22"/>
        </w:rPr>
        <w:t>early</w:t>
      </w:r>
      <w:proofErr w:type="spellEnd"/>
      <w:r w:rsidRPr="0080401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Pr="00804010">
        <w:rPr>
          <w:rFonts w:asciiTheme="minorHAnsi" w:hAnsiTheme="minorHAnsi" w:cstheme="minorHAnsi"/>
          <w:i/>
          <w:iCs/>
          <w:sz w:val="22"/>
          <w:szCs w:val="22"/>
        </w:rPr>
        <w:t>medieval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>) – notamment le concept de « régionalisation »</w:t>
      </w:r>
      <w:r w:rsidR="00C73794" w:rsidRPr="00804010">
        <w:rPr>
          <w:rFonts w:asciiTheme="minorHAnsi" w:hAnsiTheme="minorHAnsi" w:cstheme="minorHAnsi"/>
          <w:sz w:val="22"/>
          <w:szCs w:val="22"/>
        </w:rPr>
        <w:t xml:space="preserve"> –</w:t>
      </w:r>
      <w:r w:rsidRPr="00804010">
        <w:rPr>
          <w:rFonts w:asciiTheme="minorHAnsi" w:hAnsiTheme="minorHAnsi" w:cstheme="minorHAnsi"/>
          <w:sz w:val="22"/>
          <w:szCs w:val="22"/>
        </w:rPr>
        <w:t xml:space="preserve"> par l’étude de la culture matérielle ; développer une méthodologie en histoire de l’art adaptée aux corpus matériels presque ou totalement dépourvus d’épigraphes ; interroger les « acquis » relatifs à l’art médiéval (le rapport entre sérialité et créativité ; le statut des artistes et leur manière de travailler en atelier ; les relations entre idiomes artistiques locaux et styles dynastiques).</w:t>
      </w:r>
    </w:p>
    <w:p w14:paraId="5814B4FD" w14:textId="77777777" w:rsidR="005416F6" w:rsidRPr="00804010" w:rsidRDefault="005416F6" w:rsidP="00E706C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EA1DB2" w14:textId="13CDC53F" w:rsidR="00E706CA" w:rsidRPr="00804010" w:rsidRDefault="00E706CA" w:rsidP="00E706CA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Histoire de l’art et archéologie</w:t>
      </w:r>
    </w:p>
    <w:p w14:paraId="65C259E2" w14:textId="1B506A07" w:rsidR="00E706CA" w:rsidRPr="00804010" w:rsidRDefault="00E706CA" w:rsidP="00E706CA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Inde du Nord médiévale</w:t>
      </w:r>
    </w:p>
    <w:p w14:paraId="21371084" w14:textId="2FD7E620" w:rsidR="00E706CA" w:rsidRPr="00804010" w:rsidRDefault="00E706CA" w:rsidP="00E706CA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Rôle des musées dans la connaissance de l’art du premier âge médiéval indien</w:t>
      </w:r>
    </w:p>
    <w:p w14:paraId="610E1EAF" w14:textId="1DC726FA" w:rsidR="00E706CA" w:rsidRPr="00804010" w:rsidRDefault="00E706CA" w:rsidP="00E706CA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Architecture et sculpture des temples indiens</w:t>
      </w:r>
    </w:p>
    <w:p w14:paraId="7C2F0555" w14:textId="2D70231B" w:rsidR="00E706CA" w:rsidRPr="00804010" w:rsidRDefault="00E706CA" w:rsidP="00E706CA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Culture matérielle</w:t>
      </w:r>
    </w:p>
    <w:p w14:paraId="41FF8A71" w14:textId="00C9F07D" w:rsidR="005416F6" w:rsidRPr="00804010" w:rsidRDefault="005416F6" w:rsidP="00E706CA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>Cultures régionales de l’Inde du Nord médiévale</w:t>
      </w:r>
    </w:p>
    <w:p w14:paraId="777A24B3" w14:textId="0A9FEE7D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8CE39D" w14:textId="1C04CC56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1FD1F6" w14:textId="7E20B49E" w:rsidR="002355FF" w:rsidRPr="00804010" w:rsidRDefault="002355FF" w:rsidP="002355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0704335"/>
      <w:r w:rsidRPr="00804010">
        <w:rPr>
          <w:rFonts w:asciiTheme="minorHAnsi" w:hAnsiTheme="minorHAnsi" w:cstheme="minorHAnsi"/>
          <w:b/>
          <w:bCs/>
          <w:sz w:val="22"/>
          <w:szCs w:val="22"/>
        </w:rPr>
        <w:t>Bibliographie</w:t>
      </w:r>
    </w:p>
    <w:p w14:paraId="37376CC1" w14:textId="6453F1D7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D244AF6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Avec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Saarthak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Singh, « Monumentality, Seriality and Social Intervention: Stone Sculptures from an 11th-Century Workshop at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Sunari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in Eastern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Malwa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 », </w:t>
      </w:r>
      <w:r w:rsidRPr="00526E2D">
        <w:rPr>
          <w:rFonts w:asciiTheme="minorHAnsi" w:hAnsiTheme="minorHAnsi" w:cstheme="minorHAnsi"/>
          <w:i/>
          <w:iCs/>
          <w:sz w:val="22"/>
          <w:szCs w:val="22"/>
          <w:lang w:val="en-US"/>
        </w:rPr>
        <w:t>Arts</w:t>
      </w: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i/>
          <w:iCs/>
          <w:sz w:val="22"/>
          <w:szCs w:val="22"/>
          <w:lang w:val="en-US"/>
        </w:rPr>
        <w:t>Asiatiques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>, vol. 77, 2022, p. 43-68.</w:t>
      </w:r>
    </w:p>
    <w:p w14:paraId="345C89C6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D1E3291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« This is not a Sculpture: Displaying Indian Religious Figures in Museums », </w:t>
      </w:r>
      <w:r w:rsidRPr="00526E2D">
        <w:rPr>
          <w:rFonts w:asciiTheme="minorHAnsi" w:hAnsiTheme="minorHAnsi" w:cstheme="minorHAnsi"/>
          <w:i/>
          <w:iCs/>
          <w:sz w:val="22"/>
          <w:szCs w:val="22"/>
          <w:lang w:val="en-US"/>
        </w:rPr>
        <w:t>Convergence</w:t>
      </w:r>
      <w:r w:rsidRPr="00526E2D">
        <w:rPr>
          <w:rFonts w:asciiTheme="minorHAnsi" w:hAnsiTheme="minorHAnsi" w:cstheme="minorHAnsi"/>
          <w:sz w:val="22"/>
          <w:szCs w:val="22"/>
          <w:lang w:val="en-US"/>
        </w:rPr>
        <w:t>, 1, 2022, p. 78-91.</w:t>
      </w:r>
    </w:p>
    <w:p w14:paraId="6A86C302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EF417DD" w14:textId="5291C282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 xml:space="preserve">« Donner corps à l’Inde médiévale, Les formes féminines dans la sculpture </w:t>
      </w:r>
      <w:proofErr w:type="spellStart"/>
      <w:r w:rsidRPr="00804010">
        <w:rPr>
          <w:rFonts w:asciiTheme="minorHAnsi" w:hAnsiTheme="minorHAnsi" w:cstheme="minorHAnsi"/>
          <w:sz w:val="22"/>
          <w:szCs w:val="22"/>
        </w:rPr>
        <w:t>paramāra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 xml:space="preserve"> au </w:t>
      </w:r>
      <w:proofErr w:type="spellStart"/>
      <w:r w:rsidRPr="00804010">
        <w:rPr>
          <w:rFonts w:asciiTheme="minorHAnsi" w:hAnsiTheme="minorHAnsi" w:cstheme="minorHAnsi"/>
          <w:sz w:val="22"/>
          <w:szCs w:val="22"/>
        </w:rPr>
        <w:t>xie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 xml:space="preserve"> siècle », </w:t>
      </w:r>
      <w:r w:rsidRPr="00804010">
        <w:rPr>
          <w:rFonts w:asciiTheme="minorHAnsi" w:hAnsiTheme="minorHAnsi" w:cstheme="minorHAnsi"/>
          <w:i/>
          <w:iCs/>
          <w:sz w:val="22"/>
          <w:szCs w:val="22"/>
        </w:rPr>
        <w:t>BEFEO</w:t>
      </w:r>
      <w:r w:rsidRPr="00804010">
        <w:rPr>
          <w:rFonts w:asciiTheme="minorHAnsi" w:hAnsiTheme="minorHAnsi" w:cstheme="minorHAnsi"/>
          <w:sz w:val="22"/>
          <w:szCs w:val="22"/>
        </w:rPr>
        <w:t>, t. 107, 2021, p. 87-135.</w:t>
      </w:r>
    </w:p>
    <w:p w14:paraId="3CDFDD87" w14:textId="734257E3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3DD0637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« Three Indic Bodies in a Western Imaginary: the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Kāñcī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Yoginīs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in the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Musée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Guimet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 », publication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ligne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>, 2021</w:t>
      </w:r>
    </w:p>
    <w:p w14:paraId="61445088" w14:textId="77777777" w:rsidR="002355FF" w:rsidRPr="00526E2D" w:rsidRDefault="00000000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5" w:history="1">
        <w:r w:rsidR="002355FF" w:rsidRPr="00526E2D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https://convergencemagazine.art/blogs/selected-articles/three-indic-bodies-in-a-western-imaginary-the-kanci-yoginis-in-the-guimet-museum</w:t>
        </w:r>
      </w:hyperlink>
    </w:p>
    <w:p w14:paraId="14D26878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09C1A9E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« The Name of the Gods: </w:t>
      </w:r>
      <w:proofErr w:type="gramStart"/>
      <w:r w:rsidRPr="00526E2D">
        <w:rPr>
          <w:rFonts w:asciiTheme="minorHAnsi" w:hAnsiTheme="minorHAnsi" w:cstheme="minorHAnsi"/>
          <w:sz w:val="22"/>
          <w:szCs w:val="22"/>
          <w:lang w:val="en-US"/>
        </w:rPr>
        <w:t>the</w:t>
      </w:r>
      <w:proofErr w:type="gram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Stakes of Using Sanskrit in the Art World », publication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ligne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>, 2021</w:t>
      </w:r>
    </w:p>
    <w:p w14:paraId="66FE8F1F" w14:textId="1FB5E097" w:rsidR="002355FF" w:rsidRPr="00526E2D" w:rsidRDefault="00000000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6" w:history="1">
        <w:r w:rsidR="002355FF" w:rsidRPr="00526E2D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https://convergencemagazine.art/blogs/selected-articles/the-name-of-the-gods-the-stakes-of-using-sanskrit-in-the-art-world</w:t>
        </w:r>
      </w:hyperlink>
    </w:p>
    <w:p w14:paraId="4EC575B2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8411AEA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« White Ornaments and Colored Butter: </w:t>
      </w:r>
      <w:proofErr w:type="gramStart"/>
      <w:r w:rsidRPr="00526E2D">
        <w:rPr>
          <w:rFonts w:asciiTheme="minorHAnsi" w:hAnsiTheme="minorHAnsi" w:cstheme="minorHAnsi"/>
          <w:sz w:val="22"/>
          <w:szCs w:val="22"/>
          <w:lang w:val="en-US"/>
        </w:rPr>
        <w:t>the</w:t>
      </w:r>
      <w:proofErr w:type="gram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Fate of a Form of Tibetan Monumental Sculpture », publication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ligne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2021</w:t>
      </w:r>
    </w:p>
    <w:p w14:paraId="44B2300A" w14:textId="77777777" w:rsidR="002355FF" w:rsidRPr="00526E2D" w:rsidRDefault="00000000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7" w:history="1">
        <w:r w:rsidR="002355FF" w:rsidRPr="00526E2D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https://convergencemagazine.art/blogs/selected-articles/white-ornaments-and-colored-butter-the-fate-of-a-form-of-tibetan-monumental-sculpture</w:t>
        </w:r>
      </w:hyperlink>
    </w:p>
    <w:p w14:paraId="02E9CFD8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ED74DA2" w14:textId="77777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« From museum to the field: the temples of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Āśāpurī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, India », publication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en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526E2D">
        <w:rPr>
          <w:rFonts w:asciiTheme="minorHAnsi" w:hAnsiTheme="minorHAnsi" w:cstheme="minorHAnsi"/>
          <w:sz w:val="22"/>
          <w:szCs w:val="22"/>
          <w:lang w:val="en-US"/>
        </w:rPr>
        <w:t>ligne</w:t>
      </w:r>
      <w:proofErr w:type="spellEnd"/>
      <w:r w:rsidRPr="00526E2D">
        <w:rPr>
          <w:rFonts w:asciiTheme="minorHAnsi" w:hAnsiTheme="minorHAnsi" w:cstheme="minorHAnsi"/>
          <w:sz w:val="22"/>
          <w:szCs w:val="22"/>
          <w:lang w:val="en-US"/>
        </w:rPr>
        <w:t>, 2021</w:t>
      </w:r>
    </w:p>
    <w:p w14:paraId="04CA3A97" w14:textId="77777777" w:rsidR="002355FF" w:rsidRPr="00526E2D" w:rsidRDefault="00000000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hyperlink r:id="rId8" w:history="1">
        <w:r w:rsidR="002355FF" w:rsidRPr="00526E2D">
          <w:rPr>
            <w:rStyle w:val="Lienhypertexte"/>
            <w:rFonts w:asciiTheme="minorHAnsi" w:hAnsiTheme="minorHAnsi" w:cstheme="minorHAnsi"/>
            <w:sz w:val="22"/>
            <w:szCs w:val="22"/>
            <w:lang w:val="en-US"/>
          </w:rPr>
          <w:t>https://convergencemagazine.art/blogs/selected-articles/from-museum-to-the-field-the-temples-of-asapuri-india</w:t>
        </w:r>
      </w:hyperlink>
    </w:p>
    <w:p w14:paraId="0371BB1F" w14:textId="4CE5F777" w:rsidR="002355FF" w:rsidRPr="00526E2D" w:rsidRDefault="002355FF" w:rsidP="002355FF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430052C" w14:textId="77777777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i/>
          <w:iCs/>
          <w:sz w:val="22"/>
          <w:szCs w:val="22"/>
        </w:rPr>
        <w:t>et.al</w:t>
      </w:r>
      <w:r w:rsidRPr="00804010">
        <w:rPr>
          <w:rFonts w:asciiTheme="minorHAnsi" w:hAnsiTheme="minorHAnsi" w:cstheme="minorHAnsi"/>
          <w:sz w:val="22"/>
          <w:szCs w:val="22"/>
        </w:rPr>
        <w:t xml:space="preserve">, </w:t>
      </w:r>
      <w:r w:rsidRPr="00804010">
        <w:rPr>
          <w:rFonts w:asciiTheme="minorHAnsi" w:hAnsiTheme="minorHAnsi" w:cstheme="minorHAnsi"/>
          <w:i/>
          <w:iCs/>
          <w:sz w:val="22"/>
          <w:szCs w:val="22"/>
        </w:rPr>
        <w:t>Ordre et Chaos</w:t>
      </w:r>
      <w:r w:rsidRPr="00804010">
        <w:rPr>
          <w:rFonts w:asciiTheme="minorHAnsi" w:hAnsiTheme="minorHAnsi" w:cstheme="minorHAnsi"/>
          <w:sz w:val="22"/>
          <w:szCs w:val="22"/>
        </w:rPr>
        <w:t>, Actes de la Journée d'étude des doctorants de l'E.D. 472 (EPHE), 2019, 80p.</w:t>
      </w:r>
    </w:p>
    <w:p w14:paraId="71436E21" w14:textId="77777777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E4DFA6" w14:textId="15A777FF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  <w:r w:rsidRPr="00804010">
        <w:rPr>
          <w:rFonts w:asciiTheme="minorHAnsi" w:hAnsiTheme="minorHAnsi" w:cstheme="minorHAnsi"/>
          <w:sz w:val="22"/>
          <w:szCs w:val="22"/>
        </w:rPr>
        <w:t xml:space="preserve">« Entre Gūrjara-Pratīhāra et Paramāra, étude de l’iconographie de Varāha à </w:t>
      </w:r>
      <w:proofErr w:type="spellStart"/>
      <w:r w:rsidRPr="00804010">
        <w:rPr>
          <w:rFonts w:asciiTheme="minorHAnsi" w:hAnsiTheme="minorHAnsi" w:cstheme="minorHAnsi"/>
          <w:sz w:val="22"/>
          <w:szCs w:val="22"/>
        </w:rPr>
        <w:t>Āśāpurī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Pr="00804010">
        <w:rPr>
          <w:rFonts w:asciiTheme="minorHAnsi" w:hAnsiTheme="minorHAnsi" w:cstheme="minorHAnsi"/>
          <w:sz w:val="22"/>
          <w:szCs w:val="22"/>
        </w:rPr>
        <w:t>Madhya</w:t>
      </w:r>
      <w:proofErr w:type="spellEnd"/>
      <w:r w:rsidRPr="00804010">
        <w:rPr>
          <w:rFonts w:asciiTheme="minorHAnsi" w:hAnsiTheme="minorHAnsi" w:cstheme="minorHAnsi"/>
          <w:sz w:val="22"/>
          <w:szCs w:val="22"/>
        </w:rPr>
        <w:t xml:space="preserve"> Pradesh)</w:t>
      </w:r>
      <w:r w:rsidR="00685C14">
        <w:rPr>
          <w:rFonts w:asciiTheme="minorHAnsi" w:hAnsiTheme="minorHAnsi" w:cstheme="minorHAnsi"/>
          <w:sz w:val="22"/>
          <w:szCs w:val="22"/>
        </w:rPr>
        <w:t> </w:t>
      </w:r>
      <w:r w:rsidRPr="00804010">
        <w:rPr>
          <w:rFonts w:asciiTheme="minorHAnsi" w:hAnsiTheme="minorHAnsi" w:cstheme="minorHAnsi"/>
          <w:sz w:val="22"/>
          <w:szCs w:val="22"/>
        </w:rPr>
        <w:t xml:space="preserve">», </w:t>
      </w:r>
      <w:r w:rsidRPr="00804010">
        <w:rPr>
          <w:rFonts w:asciiTheme="minorHAnsi" w:hAnsiTheme="minorHAnsi" w:cstheme="minorHAnsi"/>
          <w:i/>
          <w:iCs/>
          <w:sz w:val="22"/>
          <w:szCs w:val="22"/>
        </w:rPr>
        <w:t>Arts Asiatiques</w:t>
      </w:r>
      <w:r w:rsidRPr="00804010">
        <w:rPr>
          <w:rFonts w:asciiTheme="minorHAnsi" w:hAnsiTheme="minorHAnsi" w:cstheme="minorHAnsi"/>
          <w:sz w:val="22"/>
          <w:szCs w:val="22"/>
        </w:rPr>
        <w:t>, vol. 73, 2018, p. 135-146.</w:t>
      </w:r>
    </w:p>
    <w:bookmarkEnd w:id="0"/>
    <w:p w14:paraId="2D536AAC" w14:textId="6390C230" w:rsidR="002355FF" w:rsidRPr="00804010" w:rsidRDefault="002355FF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76A3C6" w14:textId="3975B1D4" w:rsidR="00C73794" w:rsidRPr="00804010" w:rsidRDefault="00C73794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33F61E" w14:textId="2B75D084" w:rsidR="00C73794" w:rsidRPr="00804010" w:rsidRDefault="00C73794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CD15EB" w14:textId="13CEBA88" w:rsidR="00C73794" w:rsidRPr="00804010" w:rsidRDefault="00C73794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CD6A4EE" w14:textId="26956AB7" w:rsidR="00C73794" w:rsidRPr="00804010" w:rsidRDefault="00804010" w:rsidP="002355F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20704403"/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C73794" w:rsidRPr="00804010">
        <w:rPr>
          <w:rFonts w:asciiTheme="minorHAnsi" w:hAnsiTheme="minorHAnsi" w:cstheme="minorHAnsi"/>
          <w:b/>
          <w:bCs/>
          <w:sz w:val="22"/>
          <w:szCs w:val="22"/>
        </w:rPr>
        <w:t>rofil Academia</w:t>
      </w:r>
    </w:p>
    <w:p w14:paraId="0D09AD2A" w14:textId="4744E8BE" w:rsidR="00C73794" w:rsidRPr="00804010" w:rsidRDefault="00C73794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A19B9D" w14:textId="7904BF7C" w:rsidR="00C73794" w:rsidRPr="00804010" w:rsidRDefault="00000000" w:rsidP="002355F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C73794" w:rsidRPr="00804010">
          <w:rPr>
            <w:rStyle w:val="Lienhypertexte"/>
            <w:rFonts w:asciiTheme="minorHAnsi" w:hAnsiTheme="minorHAnsi" w:cstheme="minorHAnsi"/>
            <w:sz w:val="22"/>
            <w:szCs w:val="22"/>
          </w:rPr>
          <w:t>https://ephe-sorbonne.academia.edu/JohanLevillain</w:t>
        </w:r>
      </w:hyperlink>
    </w:p>
    <w:bookmarkEnd w:id="1"/>
    <w:p w14:paraId="42194903" w14:textId="4632EDAF" w:rsidR="00C73794" w:rsidRPr="00804010" w:rsidRDefault="00C73794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D5334F" w14:textId="77777777" w:rsidR="00C73794" w:rsidRPr="00804010" w:rsidRDefault="00C73794" w:rsidP="002355F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C73794" w:rsidRPr="0080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E65AB5"/>
    <w:multiLevelType w:val="hybridMultilevel"/>
    <w:tmpl w:val="8F4E4002"/>
    <w:lvl w:ilvl="0" w:tplc="94E23902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1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FF"/>
    <w:rsid w:val="002355FF"/>
    <w:rsid w:val="00455696"/>
    <w:rsid w:val="00526E2D"/>
    <w:rsid w:val="005416F6"/>
    <w:rsid w:val="00685C14"/>
    <w:rsid w:val="00804010"/>
    <w:rsid w:val="00C73794"/>
    <w:rsid w:val="00E7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4F1E"/>
  <w15:chartTrackingRefBased/>
  <w15:docId w15:val="{7B6F42CE-8F21-4CAB-B63A-F65F11D7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2355FF"/>
    <w:pPr>
      <w:spacing w:after="0" w:line="240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2"/>
    <w:qFormat/>
    <w:rsid w:val="002355FF"/>
    <w:pPr>
      <w:spacing w:before="120" w:after="120"/>
      <w:jc w:val="right"/>
      <w:outlineLvl w:val="0"/>
    </w:pPr>
    <w:rPr>
      <w:rFonts w:ascii="Georgia" w:hAnsi="Georgia" w:cs="Times New Roman (Body CS)"/>
      <w:b/>
      <w:color w:val="5B9BD5" w:themeColor="accent5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Right">
    <w:name w:val="TextRight"/>
    <w:basedOn w:val="Normal"/>
    <w:next w:val="Normal"/>
    <w:uiPriority w:val="5"/>
    <w:qFormat/>
    <w:rsid w:val="002355FF"/>
    <w:pPr>
      <w:spacing w:line="288" w:lineRule="auto"/>
    </w:pPr>
    <w:rPr>
      <w:color w:val="404040" w:themeColor="text1" w:themeTint="BF"/>
      <w:sz w:val="22"/>
    </w:rPr>
  </w:style>
  <w:style w:type="character" w:customStyle="1" w:styleId="Titre1Car">
    <w:name w:val="Titre 1 Car"/>
    <w:basedOn w:val="Policepardfaut"/>
    <w:link w:val="Titre1"/>
    <w:uiPriority w:val="2"/>
    <w:rsid w:val="002355FF"/>
    <w:rPr>
      <w:rFonts w:ascii="Georgia" w:hAnsi="Georgia" w:cs="Times New Roman (Body CS)"/>
      <w:b/>
      <w:color w:val="5B9BD5" w:themeColor="accent5"/>
      <w:sz w:val="28"/>
      <w:szCs w:val="24"/>
    </w:rPr>
  </w:style>
  <w:style w:type="character" w:styleId="Lienhypertexte">
    <w:name w:val="Hyperlink"/>
    <w:basedOn w:val="Policepardfaut"/>
    <w:uiPriority w:val="99"/>
    <w:unhideWhenUsed/>
    <w:rsid w:val="002355FF"/>
    <w:rPr>
      <w:rFonts w:ascii="Arial" w:hAnsi="Arial" w:cs="Arial"/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706CA"/>
    <w:pPr>
      <w:ind w:left="720"/>
      <w:contextualSpacing/>
    </w:pPr>
  </w:style>
  <w:style w:type="paragraph" w:customStyle="1" w:styleId="Standard">
    <w:name w:val="Standard"/>
    <w:rsid w:val="005416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Mentionnonrsolue">
    <w:name w:val="Unresolved Mention"/>
    <w:basedOn w:val="Policepardfaut"/>
    <w:uiPriority w:val="99"/>
    <w:semiHidden/>
    <w:unhideWhenUsed/>
    <w:rsid w:val="00C737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vergencemagazine.art/blogs/selected-articles/from-museum-to-the-field-the-temples-of-asapuri-ind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vergencemagazine.art/blogs/selected-articles/white-ornaments-and-colored-butter-the-fate-of-a-form-of-tibetan-monumental-sculptu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vergencemagazine.art/blogs/selected-articles/the-name-of-the-gods-the-stakes-of-using-sanskrit-in-the-art-worl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onvergencemagazine.art/blogs/selected-articles/three-indic-bodies-in-a-western-imaginary-the-kanci-yoginis-in-the-guimet-museu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phe-sorbonne.academia.edu/JohanLevillai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Levillain</dc:creator>
  <cp:keywords/>
  <dc:description/>
  <cp:lastModifiedBy>Anne-Cécile Schreiner</cp:lastModifiedBy>
  <cp:revision>5</cp:revision>
  <dcterms:created xsi:type="dcterms:W3CDTF">2022-11-30T10:54:00Z</dcterms:created>
  <dcterms:modified xsi:type="dcterms:W3CDTF">2022-12-05T09:36:00Z</dcterms:modified>
</cp:coreProperties>
</file>