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401F" w14:textId="362E6630" w:rsidR="00F40E50" w:rsidRPr="005462DD" w:rsidRDefault="00F40E50" w:rsidP="00F40E50">
      <w:pPr>
        <w:jc w:val="both"/>
        <w:rPr>
          <w:lang w:val="en-US"/>
        </w:rPr>
      </w:pPr>
      <w:r w:rsidRPr="005462DD">
        <w:rPr>
          <w:lang w:val="en-US"/>
        </w:rPr>
        <w:t xml:space="preserve">Johan </w:t>
      </w:r>
      <w:r w:rsidR="005462DD" w:rsidRPr="005462DD">
        <w:rPr>
          <w:lang w:val="en-US"/>
        </w:rPr>
        <w:t>LEVILLAIN</w:t>
      </w:r>
    </w:p>
    <w:p w14:paraId="08628509" w14:textId="77777777" w:rsidR="00F40E50" w:rsidRPr="005462DD" w:rsidRDefault="00F40E50" w:rsidP="00F40E50">
      <w:pPr>
        <w:jc w:val="both"/>
        <w:rPr>
          <w:lang w:val="en-US"/>
        </w:rPr>
      </w:pPr>
    </w:p>
    <w:p w14:paraId="46965E59" w14:textId="77777777" w:rsidR="00F40E50" w:rsidRPr="005462DD" w:rsidRDefault="00F40E50" w:rsidP="00F40E50">
      <w:pPr>
        <w:jc w:val="both"/>
        <w:rPr>
          <w:b/>
          <w:bCs/>
          <w:lang w:val="en-US"/>
        </w:rPr>
      </w:pPr>
      <w:r w:rsidRPr="005462DD">
        <w:rPr>
          <w:b/>
          <w:bCs/>
          <w:lang w:val="en-US"/>
        </w:rPr>
        <w:t>Biography</w:t>
      </w:r>
    </w:p>
    <w:p w14:paraId="6740963F" w14:textId="1A2800BE" w:rsidR="00F40E50" w:rsidRPr="005462DD" w:rsidRDefault="00F40E50" w:rsidP="00F40E50">
      <w:pPr>
        <w:jc w:val="both"/>
        <w:rPr>
          <w:lang w:val="en-US"/>
        </w:rPr>
      </w:pPr>
      <w:r w:rsidRPr="005462DD">
        <w:rPr>
          <w:lang w:val="en-US"/>
        </w:rPr>
        <w:t xml:space="preserve">Johan </w:t>
      </w:r>
      <w:proofErr w:type="spellStart"/>
      <w:r w:rsidRPr="005462DD">
        <w:rPr>
          <w:lang w:val="en-US"/>
        </w:rPr>
        <w:t>Levillain</w:t>
      </w:r>
      <w:proofErr w:type="spellEnd"/>
      <w:r w:rsidRPr="005462DD">
        <w:rPr>
          <w:lang w:val="en-US"/>
        </w:rPr>
        <w:t xml:space="preserve"> is a contractual doctoral student (EPHE-EFEO) working under the supervision of Charlotte Schmid (EPHE-EFEO) and Adam Hardy (Cardiff University). After obtaining a degree in modern literature from the University of Caen in 2011, Johan </w:t>
      </w:r>
      <w:proofErr w:type="spellStart"/>
      <w:r w:rsidRPr="005462DD">
        <w:rPr>
          <w:lang w:val="en-US"/>
        </w:rPr>
        <w:t>Levillain</w:t>
      </w:r>
      <w:proofErr w:type="spellEnd"/>
      <w:r w:rsidRPr="005462DD">
        <w:rPr>
          <w:lang w:val="en-US"/>
        </w:rPr>
        <w:t xml:space="preserve"> began a course in art history and museology at the École du Louvre, where he </w:t>
      </w:r>
      <w:proofErr w:type="spellStart"/>
      <w:r w:rsidRPr="005462DD">
        <w:rPr>
          <w:lang w:val="en-US"/>
        </w:rPr>
        <w:t>specialised</w:t>
      </w:r>
      <w:proofErr w:type="spellEnd"/>
      <w:r w:rsidRPr="005462DD">
        <w:rPr>
          <w:lang w:val="en-US"/>
        </w:rPr>
        <w:t xml:space="preserve"> in the art of South Asia. He obtained an undergraduate degree in 2014 and a graduate degree in 2016, after completing a research paper on the architectural decoration of </w:t>
      </w:r>
      <w:proofErr w:type="spellStart"/>
      <w:r w:rsidRPr="005462DD">
        <w:rPr>
          <w:lang w:val="en-US"/>
        </w:rPr>
        <w:t>Mahasthangarh</w:t>
      </w:r>
      <w:proofErr w:type="spellEnd"/>
      <w:r w:rsidRPr="005462DD">
        <w:rPr>
          <w:lang w:val="en-US"/>
        </w:rPr>
        <w:t xml:space="preserve"> in Bangladesh, written under the supervision of Vincent </w:t>
      </w:r>
      <w:proofErr w:type="spellStart"/>
      <w:r w:rsidRPr="005462DD">
        <w:rPr>
          <w:lang w:val="en-US"/>
        </w:rPr>
        <w:t>Lefèvre</w:t>
      </w:r>
      <w:proofErr w:type="spellEnd"/>
      <w:r w:rsidRPr="005462DD">
        <w:rPr>
          <w:lang w:val="en-US"/>
        </w:rPr>
        <w:t xml:space="preserve"> (Sorbonne Nouvelle Paris 3). In 2017, he obtained a degree in Indian Studies at the Sorbonne Nouvelle Paris 3 and began his PhD, whose dissertation seeks to define a regional culture in </w:t>
      </w:r>
      <w:proofErr w:type="spellStart"/>
      <w:r w:rsidRPr="005462DD">
        <w:rPr>
          <w:lang w:val="en-US"/>
        </w:rPr>
        <w:t>Āśāpurī</w:t>
      </w:r>
      <w:proofErr w:type="spellEnd"/>
      <w:r w:rsidRPr="005462DD">
        <w:rPr>
          <w:lang w:val="en-US"/>
        </w:rPr>
        <w:t xml:space="preserve">, Madhya Pradesh, between the 9th and 11th centuries. This study is mainly based on an abundant material corpus - sculpture and architecture - examined in its stylistic, </w:t>
      </w:r>
      <w:proofErr w:type="gramStart"/>
      <w:r w:rsidRPr="005462DD">
        <w:rPr>
          <w:lang w:val="en-US"/>
        </w:rPr>
        <w:t>iconographic</w:t>
      </w:r>
      <w:proofErr w:type="gramEnd"/>
      <w:r w:rsidRPr="005462DD">
        <w:rPr>
          <w:lang w:val="en-US"/>
        </w:rPr>
        <w:t xml:space="preserve"> and contextual details. </w:t>
      </w:r>
    </w:p>
    <w:p w14:paraId="33D0E533" w14:textId="77777777" w:rsidR="00F40E50" w:rsidRPr="005462DD" w:rsidRDefault="00F40E50" w:rsidP="00F40E50">
      <w:pPr>
        <w:jc w:val="both"/>
        <w:rPr>
          <w:lang w:val="en-US"/>
        </w:rPr>
      </w:pPr>
      <w:r w:rsidRPr="005462DD">
        <w:rPr>
          <w:lang w:val="en-US"/>
        </w:rPr>
        <w:t xml:space="preserve">At the same time, Johan </w:t>
      </w:r>
      <w:proofErr w:type="spellStart"/>
      <w:r w:rsidRPr="005462DD">
        <w:rPr>
          <w:lang w:val="en-US"/>
        </w:rPr>
        <w:t>Levillain</w:t>
      </w:r>
      <w:proofErr w:type="spellEnd"/>
      <w:r w:rsidRPr="005462DD">
        <w:rPr>
          <w:lang w:val="en-US"/>
        </w:rPr>
        <w:t xml:space="preserve"> works in the publications department of the EFEO and teaches the history of the art of India and the Indianized areas of Southeast Asia at the École du Louvre.</w:t>
      </w:r>
    </w:p>
    <w:p w14:paraId="6FF5A819" w14:textId="77777777" w:rsidR="00F40E50" w:rsidRPr="005462DD" w:rsidRDefault="00F40E50" w:rsidP="00F40E50">
      <w:pPr>
        <w:jc w:val="both"/>
        <w:rPr>
          <w:lang w:val="en-US"/>
        </w:rPr>
      </w:pPr>
      <w:r w:rsidRPr="005462DD">
        <w:rPr>
          <w:lang w:val="en-US"/>
        </w:rPr>
        <w:t xml:space="preserve">Anxious to bridge the worlds of museums, universities, and the art market, Johan </w:t>
      </w:r>
      <w:proofErr w:type="spellStart"/>
      <w:r w:rsidRPr="005462DD">
        <w:rPr>
          <w:lang w:val="en-US"/>
        </w:rPr>
        <w:t>Levillain</w:t>
      </w:r>
      <w:proofErr w:type="spellEnd"/>
      <w:r w:rsidRPr="005462DD">
        <w:rPr>
          <w:lang w:val="en-US"/>
        </w:rPr>
        <w:t xml:space="preserve"> is also assistant editor for the journal </w:t>
      </w:r>
      <w:r w:rsidRPr="005462DD">
        <w:rPr>
          <w:i/>
          <w:iCs/>
          <w:lang w:val="en-US"/>
        </w:rPr>
        <w:t>Convergence</w:t>
      </w:r>
      <w:r w:rsidRPr="005462DD">
        <w:rPr>
          <w:lang w:val="en-US"/>
        </w:rPr>
        <w:t xml:space="preserve">, intended for the </w:t>
      </w:r>
      <w:proofErr w:type="gramStart"/>
      <w:r w:rsidRPr="005462DD">
        <w:rPr>
          <w:lang w:val="en-US"/>
        </w:rPr>
        <w:t>general public</w:t>
      </w:r>
      <w:proofErr w:type="gramEnd"/>
      <w:r w:rsidRPr="005462DD">
        <w:rPr>
          <w:lang w:val="en-US"/>
        </w:rPr>
        <w:t xml:space="preserve"> and devoted to the arts of Africa, the Americas, Asia, and Oceania.</w:t>
      </w:r>
    </w:p>
    <w:p w14:paraId="3E3EA75E" w14:textId="77777777" w:rsidR="00F40E50" w:rsidRPr="005462DD" w:rsidRDefault="00F40E50" w:rsidP="00F40E50">
      <w:pPr>
        <w:rPr>
          <w:lang w:val="en-US"/>
        </w:rPr>
      </w:pPr>
    </w:p>
    <w:p w14:paraId="56B6F9E6" w14:textId="77777777" w:rsidR="00F40E50" w:rsidRPr="005462DD" w:rsidRDefault="00F40E50" w:rsidP="00F40E50">
      <w:pPr>
        <w:jc w:val="both"/>
        <w:rPr>
          <w:b/>
          <w:bCs/>
          <w:lang w:val="en-US"/>
        </w:rPr>
      </w:pPr>
      <w:r w:rsidRPr="005462DD">
        <w:rPr>
          <w:b/>
          <w:bCs/>
          <w:lang w:val="en-US"/>
        </w:rPr>
        <w:t>Research area</w:t>
      </w:r>
    </w:p>
    <w:p w14:paraId="75B98C60" w14:textId="4FC802DC" w:rsidR="00F40E50" w:rsidRPr="005462DD" w:rsidRDefault="00F40E50" w:rsidP="00F40E50">
      <w:pPr>
        <w:jc w:val="both"/>
        <w:rPr>
          <w:lang w:val="en-US"/>
        </w:rPr>
      </w:pPr>
      <w:r w:rsidRPr="005462DD">
        <w:rPr>
          <w:lang w:val="en-US"/>
        </w:rPr>
        <w:t xml:space="preserve">The challenges of Johan </w:t>
      </w:r>
      <w:proofErr w:type="spellStart"/>
      <w:r w:rsidRPr="005462DD">
        <w:rPr>
          <w:lang w:val="en-US"/>
        </w:rPr>
        <w:t>Levillain's</w:t>
      </w:r>
      <w:proofErr w:type="spellEnd"/>
      <w:r w:rsidRPr="005462DD">
        <w:rPr>
          <w:lang w:val="en-US"/>
        </w:rPr>
        <w:t xml:space="preserve"> research are as follows: to test the theoretical models of the early medieval age - in particular the concept of "</w:t>
      </w:r>
      <w:proofErr w:type="spellStart"/>
      <w:r w:rsidRPr="005462DD">
        <w:rPr>
          <w:lang w:val="en-US"/>
        </w:rPr>
        <w:t>regionalisation</w:t>
      </w:r>
      <w:proofErr w:type="spellEnd"/>
      <w:r w:rsidRPr="005462DD">
        <w:rPr>
          <w:lang w:val="en-US"/>
        </w:rPr>
        <w:t>" - through the study of material culture; to develop a methodology in art history adapted to material corpus almost or totally devoid of epigraphs; to question the "achievements" relating to medieval art (the relationship between seriality and creativity; the status of artists and their way of working in a workshop; the relationships between local artistic idioms and dynastic styles).</w:t>
      </w:r>
    </w:p>
    <w:p w14:paraId="6A4B3496" w14:textId="77777777" w:rsidR="00F40E50" w:rsidRPr="005462DD" w:rsidRDefault="00F40E50" w:rsidP="00F40E50">
      <w:pPr>
        <w:jc w:val="both"/>
        <w:rPr>
          <w:lang w:val="en-US"/>
        </w:rPr>
      </w:pPr>
    </w:p>
    <w:p w14:paraId="622D461E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Art History and Archaeology</w:t>
      </w:r>
    </w:p>
    <w:p w14:paraId="7DE7CEC0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Medieval North India</w:t>
      </w:r>
    </w:p>
    <w:p w14:paraId="40F3A47F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Role of museums in the knowledge of early medieval Indian art</w:t>
      </w:r>
    </w:p>
    <w:p w14:paraId="5DFA62A5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Architecture and sculpture of Indian temples</w:t>
      </w:r>
    </w:p>
    <w:p w14:paraId="69A72ADB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Material culture</w:t>
      </w:r>
    </w:p>
    <w:p w14:paraId="4D24085F" w14:textId="7F5174BF" w:rsidR="00F40E50" w:rsidRPr="005462DD" w:rsidRDefault="00F40E50" w:rsidP="00F40E50">
      <w:pPr>
        <w:pStyle w:val="Sansinterligne"/>
        <w:jc w:val="both"/>
        <w:rPr>
          <w:lang w:val="en-US"/>
        </w:rPr>
      </w:pPr>
      <w:r w:rsidRPr="005462DD">
        <w:rPr>
          <w:lang w:val="en-US"/>
        </w:rPr>
        <w:t>Regional cultures of medieval North India</w:t>
      </w:r>
    </w:p>
    <w:p w14:paraId="72F8AD09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</w:p>
    <w:p w14:paraId="7A62052A" w14:textId="77777777" w:rsidR="00F40E50" w:rsidRPr="005462DD" w:rsidRDefault="00F40E50" w:rsidP="00F40E50">
      <w:pPr>
        <w:pStyle w:val="Sansinterligne"/>
        <w:jc w:val="both"/>
        <w:rPr>
          <w:lang w:val="en-US"/>
        </w:rPr>
      </w:pPr>
    </w:p>
    <w:p w14:paraId="353251D9" w14:textId="19502678" w:rsidR="00F40E50" w:rsidRPr="005462DD" w:rsidRDefault="00F40E50" w:rsidP="00F40E50">
      <w:pPr>
        <w:pStyle w:val="Sansinterligne"/>
        <w:jc w:val="both"/>
        <w:rPr>
          <w:rFonts w:cstheme="minorHAnsi"/>
          <w:b/>
          <w:bCs/>
          <w:lang w:val="en-US"/>
        </w:rPr>
      </w:pPr>
      <w:r w:rsidRPr="005462DD">
        <w:rPr>
          <w:rFonts w:cstheme="minorHAnsi"/>
          <w:b/>
          <w:bCs/>
          <w:lang w:val="en-US"/>
        </w:rPr>
        <w:t>Bibliography</w:t>
      </w:r>
    </w:p>
    <w:p w14:paraId="667AB8C9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0D0FF7C0" w14:textId="1A9A9FBD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With </w:t>
      </w:r>
      <w:proofErr w:type="spellStart"/>
      <w:r w:rsidRPr="005462DD">
        <w:rPr>
          <w:rFonts w:cstheme="minorHAnsi"/>
          <w:lang w:val="en-US"/>
        </w:rPr>
        <w:t>Saarthak</w:t>
      </w:r>
      <w:proofErr w:type="spellEnd"/>
      <w:r w:rsidRPr="005462DD">
        <w:rPr>
          <w:rFonts w:cstheme="minorHAnsi"/>
          <w:lang w:val="en-US"/>
        </w:rPr>
        <w:t xml:space="preserve"> Singh, « Monumentality, Seriality and Social Intervention: Stone Sculptures from an 11th-Century Workshop at </w:t>
      </w:r>
      <w:proofErr w:type="spellStart"/>
      <w:r w:rsidRPr="005462DD">
        <w:rPr>
          <w:rFonts w:cstheme="minorHAnsi"/>
          <w:lang w:val="en-US"/>
        </w:rPr>
        <w:t>Sunari</w:t>
      </w:r>
      <w:proofErr w:type="spellEnd"/>
      <w:r w:rsidRPr="005462DD">
        <w:rPr>
          <w:rFonts w:cstheme="minorHAnsi"/>
          <w:lang w:val="en-US"/>
        </w:rPr>
        <w:t xml:space="preserve"> in Eastern </w:t>
      </w:r>
      <w:proofErr w:type="spellStart"/>
      <w:r w:rsidRPr="005462DD">
        <w:rPr>
          <w:rFonts w:cstheme="minorHAnsi"/>
          <w:lang w:val="en-US"/>
        </w:rPr>
        <w:t>Malwa</w:t>
      </w:r>
      <w:proofErr w:type="spellEnd"/>
      <w:r w:rsidRPr="005462DD">
        <w:rPr>
          <w:rFonts w:cstheme="minorHAnsi"/>
          <w:lang w:val="en-US"/>
        </w:rPr>
        <w:t xml:space="preserve"> », </w:t>
      </w:r>
      <w:r w:rsidRPr="005462DD">
        <w:rPr>
          <w:rFonts w:cstheme="minorHAnsi"/>
          <w:i/>
          <w:iCs/>
          <w:lang w:val="en-US"/>
        </w:rPr>
        <w:t>Arts</w:t>
      </w:r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i/>
          <w:iCs/>
          <w:lang w:val="en-US"/>
        </w:rPr>
        <w:t>Asiatiques</w:t>
      </w:r>
      <w:proofErr w:type="spellEnd"/>
      <w:r w:rsidRPr="005462DD">
        <w:rPr>
          <w:rFonts w:cstheme="minorHAnsi"/>
          <w:lang w:val="en-US"/>
        </w:rPr>
        <w:t>, vol. 77, 2022, p. 43-68.</w:t>
      </w:r>
    </w:p>
    <w:p w14:paraId="38A03679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7556A2DC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« This is not a Sculpture: Displaying Indian Religious Figures in Museums », </w:t>
      </w:r>
      <w:r w:rsidRPr="005462DD">
        <w:rPr>
          <w:rFonts w:cstheme="minorHAnsi"/>
          <w:i/>
          <w:iCs/>
          <w:lang w:val="en-US"/>
        </w:rPr>
        <w:t>Convergence</w:t>
      </w:r>
      <w:r w:rsidRPr="005462DD">
        <w:rPr>
          <w:rFonts w:cstheme="minorHAnsi"/>
          <w:lang w:val="en-US"/>
        </w:rPr>
        <w:t>, 1, 2022, p. 78-91.</w:t>
      </w:r>
    </w:p>
    <w:p w14:paraId="17B2C923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40DAF6E4" w14:textId="77777777" w:rsidR="00F40E50" w:rsidRPr="00804010" w:rsidRDefault="00F40E50" w:rsidP="00F40E50">
      <w:pPr>
        <w:pStyle w:val="Sansinterligne"/>
        <w:jc w:val="both"/>
        <w:rPr>
          <w:rFonts w:cstheme="minorHAnsi"/>
        </w:rPr>
      </w:pPr>
      <w:r w:rsidRPr="00804010">
        <w:rPr>
          <w:rFonts w:cstheme="minorHAnsi"/>
        </w:rPr>
        <w:t xml:space="preserve">« Donner corps à l’Inde médiévale, Les formes féminines dans la sculpture </w:t>
      </w:r>
      <w:proofErr w:type="spellStart"/>
      <w:r w:rsidRPr="00804010">
        <w:rPr>
          <w:rFonts w:cstheme="minorHAnsi"/>
        </w:rPr>
        <w:t>paramāra</w:t>
      </w:r>
      <w:proofErr w:type="spellEnd"/>
      <w:r w:rsidRPr="00804010">
        <w:rPr>
          <w:rFonts w:cstheme="minorHAnsi"/>
        </w:rPr>
        <w:t xml:space="preserve"> au </w:t>
      </w:r>
      <w:proofErr w:type="spellStart"/>
      <w:r w:rsidRPr="00804010">
        <w:rPr>
          <w:rFonts w:cstheme="minorHAnsi"/>
        </w:rPr>
        <w:t>xie</w:t>
      </w:r>
      <w:proofErr w:type="spellEnd"/>
      <w:r w:rsidRPr="00804010">
        <w:rPr>
          <w:rFonts w:cstheme="minorHAnsi"/>
        </w:rPr>
        <w:t xml:space="preserve"> siècle », </w:t>
      </w:r>
      <w:r w:rsidRPr="00804010">
        <w:rPr>
          <w:rFonts w:cstheme="minorHAnsi"/>
          <w:i/>
          <w:iCs/>
        </w:rPr>
        <w:t>BEFEO</w:t>
      </w:r>
      <w:r w:rsidRPr="00804010">
        <w:rPr>
          <w:rFonts w:cstheme="minorHAnsi"/>
        </w:rPr>
        <w:t>, t. 107, 2021, p. 87-135.</w:t>
      </w:r>
    </w:p>
    <w:p w14:paraId="2B3E64FE" w14:textId="77777777" w:rsidR="00F40E50" w:rsidRPr="00804010" w:rsidRDefault="00F40E50" w:rsidP="00F40E50">
      <w:pPr>
        <w:pStyle w:val="Sansinterligne"/>
        <w:jc w:val="both"/>
        <w:rPr>
          <w:rFonts w:cstheme="minorHAnsi"/>
        </w:rPr>
      </w:pPr>
    </w:p>
    <w:p w14:paraId="13B527C9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« Three Indic Bodies in a Western Imaginary: the </w:t>
      </w:r>
      <w:proofErr w:type="spellStart"/>
      <w:r w:rsidRPr="005462DD">
        <w:rPr>
          <w:rFonts w:cstheme="minorHAnsi"/>
          <w:lang w:val="en-US"/>
        </w:rPr>
        <w:t>Kāñcī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Yoginīs</w:t>
      </w:r>
      <w:proofErr w:type="spellEnd"/>
      <w:r w:rsidRPr="005462DD">
        <w:rPr>
          <w:rFonts w:cstheme="minorHAnsi"/>
          <w:lang w:val="en-US"/>
        </w:rPr>
        <w:t xml:space="preserve"> in the </w:t>
      </w:r>
      <w:proofErr w:type="spellStart"/>
      <w:r w:rsidRPr="005462DD">
        <w:rPr>
          <w:rFonts w:cstheme="minorHAnsi"/>
          <w:lang w:val="en-US"/>
        </w:rPr>
        <w:t>Musée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Guimet</w:t>
      </w:r>
      <w:proofErr w:type="spellEnd"/>
      <w:r w:rsidRPr="005462DD">
        <w:rPr>
          <w:rFonts w:cstheme="minorHAnsi"/>
          <w:lang w:val="en-US"/>
        </w:rPr>
        <w:t xml:space="preserve"> », publication </w:t>
      </w:r>
      <w:proofErr w:type="spellStart"/>
      <w:r w:rsidRPr="005462DD">
        <w:rPr>
          <w:rFonts w:cstheme="minorHAnsi"/>
          <w:lang w:val="en-US"/>
        </w:rPr>
        <w:t>en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ligne</w:t>
      </w:r>
      <w:proofErr w:type="spellEnd"/>
      <w:r w:rsidRPr="005462DD">
        <w:rPr>
          <w:rFonts w:cstheme="minorHAnsi"/>
          <w:lang w:val="en-US"/>
        </w:rPr>
        <w:t>, 2021</w:t>
      </w:r>
    </w:p>
    <w:p w14:paraId="27C416BF" w14:textId="77777777" w:rsidR="00F40E50" w:rsidRPr="005462DD" w:rsidRDefault="00000000" w:rsidP="00F40E50">
      <w:pPr>
        <w:pStyle w:val="Sansinterligne"/>
        <w:jc w:val="both"/>
        <w:rPr>
          <w:rFonts w:cstheme="minorHAnsi"/>
          <w:lang w:val="en-US"/>
        </w:rPr>
      </w:pPr>
      <w:hyperlink r:id="rId4" w:history="1">
        <w:r w:rsidR="00F40E50" w:rsidRPr="005462DD">
          <w:rPr>
            <w:rStyle w:val="Lienhypertexte"/>
            <w:rFonts w:asciiTheme="minorHAnsi" w:hAnsiTheme="minorHAnsi" w:cstheme="minorHAnsi"/>
            <w:lang w:val="en-US"/>
          </w:rPr>
          <w:t>https://convergencemagazine.art/blogs/selected-articles/three-indic-bodies-in-a-western-imaginary-the-kanci-yoginis-in-the-guimet-museum</w:t>
        </w:r>
      </w:hyperlink>
    </w:p>
    <w:p w14:paraId="28A9773A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084FBDBF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« The Name of the Gods: </w:t>
      </w:r>
      <w:proofErr w:type="gramStart"/>
      <w:r w:rsidRPr="005462DD">
        <w:rPr>
          <w:rFonts w:cstheme="minorHAnsi"/>
          <w:lang w:val="en-US"/>
        </w:rPr>
        <w:t>the</w:t>
      </w:r>
      <w:proofErr w:type="gramEnd"/>
      <w:r w:rsidRPr="005462DD">
        <w:rPr>
          <w:rFonts w:cstheme="minorHAnsi"/>
          <w:lang w:val="en-US"/>
        </w:rPr>
        <w:t xml:space="preserve"> Stakes of Using Sanskrit in the Art World », publication </w:t>
      </w:r>
      <w:proofErr w:type="spellStart"/>
      <w:r w:rsidRPr="005462DD">
        <w:rPr>
          <w:rFonts w:cstheme="minorHAnsi"/>
          <w:lang w:val="en-US"/>
        </w:rPr>
        <w:t>en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ligne</w:t>
      </w:r>
      <w:proofErr w:type="spellEnd"/>
      <w:r w:rsidRPr="005462DD">
        <w:rPr>
          <w:rFonts w:cstheme="minorHAnsi"/>
          <w:lang w:val="en-US"/>
        </w:rPr>
        <w:t>, 2021</w:t>
      </w:r>
    </w:p>
    <w:p w14:paraId="762EFB69" w14:textId="77777777" w:rsidR="00F40E50" w:rsidRPr="005462DD" w:rsidRDefault="00000000" w:rsidP="00F40E50">
      <w:pPr>
        <w:pStyle w:val="Sansinterligne"/>
        <w:jc w:val="both"/>
        <w:rPr>
          <w:rFonts w:cstheme="minorHAnsi"/>
          <w:lang w:val="en-US"/>
        </w:rPr>
      </w:pPr>
      <w:hyperlink r:id="rId5" w:history="1">
        <w:r w:rsidR="00F40E50" w:rsidRPr="005462DD">
          <w:rPr>
            <w:rStyle w:val="Lienhypertexte"/>
            <w:rFonts w:asciiTheme="minorHAnsi" w:hAnsiTheme="minorHAnsi" w:cstheme="minorHAnsi"/>
            <w:lang w:val="en-US"/>
          </w:rPr>
          <w:t>https://convergencemagazine.art/blogs/selected-articles/the-name-of-the-gods-the-stakes-of-using-sanskrit-in-the-art-world</w:t>
        </w:r>
      </w:hyperlink>
    </w:p>
    <w:p w14:paraId="036FDFBD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75E6FB0C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« White Ornaments and Colored Butter: </w:t>
      </w:r>
      <w:proofErr w:type="gramStart"/>
      <w:r w:rsidRPr="005462DD">
        <w:rPr>
          <w:rFonts w:cstheme="minorHAnsi"/>
          <w:lang w:val="en-US"/>
        </w:rPr>
        <w:t>the</w:t>
      </w:r>
      <w:proofErr w:type="gramEnd"/>
      <w:r w:rsidRPr="005462DD">
        <w:rPr>
          <w:rFonts w:cstheme="minorHAnsi"/>
          <w:lang w:val="en-US"/>
        </w:rPr>
        <w:t xml:space="preserve"> Fate of a Form of Tibetan Monumental Sculpture », publication </w:t>
      </w:r>
      <w:proofErr w:type="spellStart"/>
      <w:r w:rsidRPr="005462DD">
        <w:rPr>
          <w:rFonts w:cstheme="minorHAnsi"/>
          <w:lang w:val="en-US"/>
        </w:rPr>
        <w:t>en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ligne</w:t>
      </w:r>
      <w:proofErr w:type="spellEnd"/>
      <w:r w:rsidRPr="005462DD">
        <w:rPr>
          <w:rFonts w:cstheme="minorHAnsi"/>
          <w:lang w:val="en-US"/>
        </w:rPr>
        <w:t xml:space="preserve"> 2021</w:t>
      </w:r>
    </w:p>
    <w:p w14:paraId="3939EDB3" w14:textId="77777777" w:rsidR="00F40E50" w:rsidRPr="005462DD" w:rsidRDefault="00000000" w:rsidP="00F40E50">
      <w:pPr>
        <w:pStyle w:val="Sansinterligne"/>
        <w:jc w:val="both"/>
        <w:rPr>
          <w:rFonts w:cstheme="minorHAnsi"/>
          <w:lang w:val="en-US"/>
        </w:rPr>
      </w:pPr>
      <w:hyperlink r:id="rId6" w:history="1">
        <w:r w:rsidR="00F40E50" w:rsidRPr="005462DD">
          <w:rPr>
            <w:rStyle w:val="Lienhypertexte"/>
            <w:rFonts w:asciiTheme="minorHAnsi" w:hAnsiTheme="minorHAnsi" w:cstheme="minorHAnsi"/>
            <w:lang w:val="en-US"/>
          </w:rPr>
          <w:t>https://convergencemagazine.art/blogs/selected-articles/white-ornaments-and-colored-butter-the-fate-of-a-form-of-tibetan-monumental-sculpture</w:t>
        </w:r>
      </w:hyperlink>
    </w:p>
    <w:p w14:paraId="7E60CD0E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62A79AE7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  <w:r w:rsidRPr="005462DD">
        <w:rPr>
          <w:rFonts w:cstheme="minorHAnsi"/>
          <w:lang w:val="en-US"/>
        </w:rPr>
        <w:t xml:space="preserve">« From museum to the field: the temples of </w:t>
      </w:r>
      <w:proofErr w:type="spellStart"/>
      <w:r w:rsidRPr="005462DD">
        <w:rPr>
          <w:rFonts w:cstheme="minorHAnsi"/>
          <w:lang w:val="en-US"/>
        </w:rPr>
        <w:t>Āśāpurī</w:t>
      </w:r>
      <w:proofErr w:type="spellEnd"/>
      <w:r w:rsidRPr="005462DD">
        <w:rPr>
          <w:rFonts w:cstheme="minorHAnsi"/>
          <w:lang w:val="en-US"/>
        </w:rPr>
        <w:t xml:space="preserve">, India », publication </w:t>
      </w:r>
      <w:proofErr w:type="spellStart"/>
      <w:r w:rsidRPr="005462DD">
        <w:rPr>
          <w:rFonts w:cstheme="minorHAnsi"/>
          <w:lang w:val="en-US"/>
        </w:rPr>
        <w:t>en</w:t>
      </w:r>
      <w:proofErr w:type="spellEnd"/>
      <w:r w:rsidRPr="005462DD">
        <w:rPr>
          <w:rFonts w:cstheme="minorHAnsi"/>
          <w:lang w:val="en-US"/>
        </w:rPr>
        <w:t xml:space="preserve"> </w:t>
      </w:r>
      <w:proofErr w:type="spellStart"/>
      <w:r w:rsidRPr="005462DD">
        <w:rPr>
          <w:rFonts w:cstheme="minorHAnsi"/>
          <w:lang w:val="en-US"/>
        </w:rPr>
        <w:t>ligne</w:t>
      </w:r>
      <w:proofErr w:type="spellEnd"/>
      <w:r w:rsidRPr="005462DD">
        <w:rPr>
          <w:rFonts w:cstheme="minorHAnsi"/>
          <w:lang w:val="en-US"/>
        </w:rPr>
        <w:t>, 2021</w:t>
      </w:r>
    </w:p>
    <w:p w14:paraId="52EE83D5" w14:textId="77777777" w:rsidR="00F40E50" w:rsidRPr="005462DD" w:rsidRDefault="00000000" w:rsidP="00F40E50">
      <w:pPr>
        <w:pStyle w:val="Sansinterligne"/>
        <w:jc w:val="both"/>
        <w:rPr>
          <w:rFonts w:cstheme="minorHAnsi"/>
          <w:lang w:val="en-US"/>
        </w:rPr>
      </w:pPr>
      <w:hyperlink r:id="rId7" w:history="1">
        <w:r w:rsidR="00F40E50" w:rsidRPr="005462DD">
          <w:rPr>
            <w:rStyle w:val="Lienhypertexte"/>
            <w:rFonts w:asciiTheme="minorHAnsi" w:hAnsiTheme="minorHAnsi" w:cstheme="minorHAnsi"/>
            <w:lang w:val="en-US"/>
          </w:rPr>
          <w:t>https://convergencemagazine.art/blogs/selected-articles/from-museum-to-the-field-the-temples-of-asapuri-india</w:t>
        </w:r>
      </w:hyperlink>
    </w:p>
    <w:p w14:paraId="23445C25" w14:textId="77777777" w:rsidR="00F40E50" w:rsidRPr="005462DD" w:rsidRDefault="00F40E50" w:rsidP="00F40E50">
      <w:pPr>
        <w:pStyle w:val="Sansinterligne"/>
        <w:jc w:val="both"/>
        <w:rPr>
          <w:rFonts w:cstheme="minorHAnsi"/>
          <w:lang w:val="en-US"/>
        </w:rPr>
      </w:pPr>
    </w:p>
    <w:p w14:paraId="108FC226" w14:textId="77777777" w:rsidR="00F40E50" w:rsidRPr="00804010" w:rsidRDefault="00F40E50" w:rsidP="00F40E50">
      <w:pPr>
        <w:pStyle w:val="Sansinterligne"/>
        <w:jc w:val="both"/>
        <w:rPr>
          <w:rFonts w:cstheme="minorHAnsi"/>
        </w:rPr>
      </w:pPr>
      <w:r w:rsidRPr="00804010">
        <w:rPr>
          <w:rFonts w:cstheme="minorHAnsi"/>
          <w:i/>
          <w:iCs/>
        </w:rPr>
        <w:t>et.al</w:t>
      </w:r>
      <w:r w:rsidRPr="00804010">
        <w:rPr>
          <w:rFonts w:cstheme="minorHAnsi"/>
        </w:rPr>
        <w:t xml:space="preserve">, </w:t>
      </w:r>
      <w:r w:rsidRPr="00804010">
        <w:rPr>
          <w:rFonts w:cstheme="minorHAnsi"/>
          <w:i/>
          <w:iCs/>
        </w:rPr>
        <w:t>Ordre et Chaos</w:t>
      </w:r>
      <w:r w:rsidRPr="00804010">
        <w:rPr>
          <w:rFonts w:cstheme="minorHAnsi"/>
        </w:rPr>
        <w:t>, Actes de la Journée d'étude des doctorants de l'E.D. 472 (EPHE), 2019, 80p.</w:t>
      </w:r>
    </w:p>
    <w:p w14:paraId="7617E2F3" w14:textId="77777777" w:rsidR="00F40E50" w:rsidRPr="00804010" w:rsidRDefault="00F40E50" w:rsidP="00F40E50">
      <w:pPr>
        <w:pStyle w:val="Sansinterligne"/>
        <w:jc w:val="both"/>
        <w:rPr>
          <w:rFonts w:cstheme="minorHAnsi"/>
        </w:rPr>
      </w:pPr>
    </w:p>
    <w:p w14:paraId="0D6A787F" w14:textId="3BBB347B" w:rsidR="00F40E50" w:rsidRPr="00804010" w:rsidRDefault="00F40E50" w:rsidP="00F40E50">
      <w:pPr>
        <w:pStyle w:val="Sansinterligne"/>
        <w:jc w:val="both"/>
        <w:rPr>
          <w:rFonts w:cstheme="minorHAnsi"/>
        </w:rPr>
      </w:pPr>
      <w:r w:rsidRPr="00804010">
        <w:rPr>
          <w:rFonts w:cstheme="minorHAnsi"/>
        </w:rPr>
        <w:t xml:space="preserve">« Entre Gūrjara-Pratīhāra et Paramāra, étude de l’iconographie de Varāha à </w:t>
      </w:r>
      <w:proofErr w:type="spellStart"/>
      <w:r w:rsidRPr="00804010">
        <w:rPr>
          <w:rFonts w:cstheme="minorHAnsi"/>
        </w:rPr>
        <w:t>Āśāpurī</w:t>
      </w:r>
      <w:proofErr w:type="spellEnd"/>
      <w:r w:rsidRPr="00804010">
        <w:rPr>
          <w:rFonts w:cstheme="minorHAnsi"/>
        </w:rPr>
        <w:t xml:space="preserve"> (</w:t>
      </w:r>
      <w:proofErr w:type="spellStart"/>
      <w:r w:rsidRPr="00804010">
        <w:rPr>
          <w:rFonts w:cstheme="minorHAnsi"/>
        </w:rPr>
        <w:t>Madhya</w:t>
      </w:r>
      <w:proofErr w:type="spellEnd"/>
      <w:r w:rsidRPr="00804010">
        <w:rPr>
          <w:rFonts w:cstheme="minorHAnsi"/>
        </w:rPr>
        <w:t xml:space="preserve"> Pradesh)</w:t>
      </w:r>
      <w:r>
        <w:rPr>
          <w:rFonts w:cstheme="minorHAnsi"/>
        </w:rPr>
        <w:t> </w:t>
      </w:r>
      <w:r w:rsidRPr="00804010">
        <w:rPr>
          <w:rFonts w:cstheme="minorHAnsi"/>
        </w:rPr>
        <w:t xml:space="preserve">», </w:t>
      </w:r>
      <w:r w:rsidRPr="00804010">
        <w:rPr>
          <w:rFonts w:cstheme="minorHAnsi"/>
          <w:i/>
          <w:iCs/>
        </w:rPr>
        <w:t>Arts Asiatiques</w:t>
      </w:r>
      <w:r w:rsidRPr="00804010">
        <w:rPr>
          <w:rFonts w:cstheme="minorHAnsi"/>
        </w:rPr>
        <w:t>, vol. 73, 2018, p. 135-146.</w:t>
      </w:r>
    </w:p>
    <w:p w14:paraId="1E83303B" w14:textId="20791F53" w:rsidR="00455696" w:rsidRDefault="00455696" w:rsidP="00F40E50">
      <w:pPr>
        <w:jc w:val="both"/>
      </w:pPr>
    </w:p>
    <w:p w14:paraId="61B371F1" w14:textId="3C270CA2" w:rsidR="00F40E50" w:rsidRDefault="00F40E50" w:rsidP="00F40E50">
      <w:pPr>
        <w:jc w:val="both"/>
      </w:pPr>
    </w:p>
    <w:p w14:paraId="668FAB13" w14:textId="72606D0C" w:rsidR="00F40E50" w:rsidRPr="005462DD" w:rsidRDefault="00F40E50" w:rsidP="00F40E50">
      <w:pPr>
        <w:jc w:val="both"/>
        <w:rPr>
          <w:rFonts w:cstheme="minorHAnsi"/>
          <w:b/>
          <w:bCs/>
          <w:lang w:val="en-US"/>
        </w:rPr>
      </w:pPr>
      <w:r w:rsidRPr="005462DD">
        <w:rPr>
          <w:rFonts w:cstheme="minorHAnsi"/>
          <w:b/>
          <w:bCs/>
          <w:lang w:val="en-US"/>
        </w:rPr>
        <w:t>Academia profile</w:t>
      </w:r>
    </w:p>
    <w:p w14:paraId="769F1AC8" w14:textId="77777777" w:rsidR="00F40E50" w:rsidRPr="005462DD" w:rsidRDefault="00000000" w:rsidP="00F40E50">
      <w:pPr>
        <w:jc w:val="both"/>
        <w:rPr>
          <w:rFonts w:cstheme="minorHAnsi"/>
          <w:lang w:val="en-US"/>
        </w:rPr>
      </w:pPr>
      <w:hyperlink r:id="rId8" w:history="1">
        <w:r w:rsidR="00F40E50" w:rsidRPr="005462DD">
          <w:rPr>
            <w:rStyle w:val="Lienhypertexte"/>
            <w:rFonts w:asciiTheme="minorHAnsi" w:hAnsiTheme="minorHAnsi" w:cstheme="minorHAnsi"/>
            <w:lang w:val="en-US"/>
          </w:rPr>
          <w:t>https://ephe-sorbonne.academia.edu/JohanLevillain</w:t>
        </w:r>
      </w:hyperlink>
    </w:p>
    <w:p w14:paraId="3794E7DC" w14:textId="77777777" w:rsidR="00F40E50" w:rsidRPr="005462DD" w:rsidRDefault="00F40E50" w:rsidP="00F40E50">
      <w:pPr>
        <w:jc w:val="both"/>
        <w:rPr>
          <w:lang w:val="en-US"/>
        </w:rPr>
      </w:pPr>
    </w:p>
    <w:sectPr w:rsidR="00F40E50" w:rsidRPr="0054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50"/>
    <w:rsid w:val="00455696"/>
    <w:rsid w:val="005462DD"/>
    <w:rsid w:val="00F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1D6E"/>
  <w15:chartTrackingRefBased/>
  <w15:docId w15:val="{A0A8E397-4059-4242-8D32-177424C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0E50"/>
    <w:rPr>
      <w:rFonts w:ascii="Arial" w:hAnsi="Arial" w:cs="Arial"/>
      <w:color w:val="0563C1" w:themeColor="hyperlink"/>
      <w:u w:val="single"/>
    </w:rPr>
  </w:style>
  <w:style w:type="paragraph" w:styleId="Sansinterligne">
    <w:name w:val="No Spacing"/>
    <w:uiPriority w:val="1"/>
    <w:qFormat/>
    <w:rsid w:val="00F40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he-sorbonne.academia.edu/JohanLevill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vergencemagazine.art/blogs/selected-articles/from-museum-to-the-field-the-temples-of-asapuri-in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rgencemagazine.art/blogs/selected-articles/white-ornaments-and-colored-butter-the-fate-of-a-form-of-tibetan-monumental-sculpture" TargetMode="External"/><Relationship Id="rId5" Type="http://schemas.openxmlformats.org/officeDocument/2006/relationships/hyperlink" Target="https://convergencemagazine.art/blogs/selected-articles/the-name-of-the-gods-the-stakes-of-using-sanskrit-in-the-art-worl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nvergencemagazine.art/blogs/selected-articles/three-indic-bodies-in-a-western-imaginary-the-kanci-yoginis-in-the-guimet-muse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Levillain</dc:creator>
  <cp:keywords/>
  <dc:description/>
  <cp:lastModifiedBy>Anne-Cécile Schreiner</cp:lastModifiedBy>
  <cp:revision>2</cp:revision>
  <dcterms:created xsi:type="dcterms:W3CDTF">2022-11-30T11:33:00Z</dcterms:created>
  <dcterms:modified xsi:type="dcterms:W3CDTF">2022-12-05T09:44:00Z</dcterms:modified>
</cp:coreProperties>
</file>