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BE5" w:rsidRDefault="005B6337" w:rsidP="00715EE8">
      <w:pPr>
        <w:spacing w:after="0"/>
        <w:rPr>
          <w:rFonts w:ascii="URW Palladio UNI" w:hAnsi="URW Palladio UNI"/>
          <w:sz w:val="24"/>
          <w:szCs w:val="24"/>
        </w:rPr>
      </w:pPr>
      <w:r w:rsidRPr="005B6337">
        <w:rPr>
          <w:rFonts w:ascii="URW Palladio UNI" w:hAnsi="URW Palladio UNI"/>
          <w:noProof/>
          <w:sz w:val="24"/>
          <w:szCs w:val="24"/>
          <w:lang w:eastAsia="fr-FR" w:bidi="hi-IN"/>
        </w:rPr>
        <w:drawing>
          <wp:inline distT="0" distB="0" distL="0" distR="0">
            <wp:extent cx="1149431" cy="1104900"/>
            <wp:effectExtent l="19050" t="0" r="0" b="0"/>
            <wp:docPr id="1" name="Image 1" descr="Résultat de recherche d'images pour &quot;abeilles de mali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abeilles de malia&quot;"/>
                    <pic:cNvPicPr>
                      <a:picLocks noChangeAspect="1" noChangeArrowheads="1"/>
                    </pic:cNvPicPr>
                  </pic:nvPicPr>
                  <pic:blipFill>
                    <a:blip r:embed="rId4" cstate="print"/>
                    <a:srcRect/>
                    <a:stretch>
                      <a:fillRect/>
                    </a:stretch>
                  </pic:blipFill>
                  <pic:spPr bwMode="auto">
                    <a:xfrm>
                      <a:off x="0" y="0"/>
                      <a:ext cx="1150747" cy="1106165"/>
                    </a:xfrm>
                    <a:prstGeom prst="rect">
                      <a:avLst/>
                    </a:prstGeom>
                    <a:noFill/>
                    <a:ln w="9525">
                      <a:noFill/>
                      <a:miter lim="800000"/>
                      <a:headEnd/>
                      <a:tailEnd/>
                    </a:ln>
                  </pic:spPr>
                </pic:pic>
              </a:graphicData>
            </a:graphic>
          </wp:inline>
        </w:drawing>
      </w:r>
      <w:r>
        <w:rPr>
          <w:rFonts w:ascii="URW Palladio UNI" w:hAnsi="URW Palladio UNI"/>
          <w:sz w:val="24"/>
          <w:szCs w:val="24"/>
        </w:rPr>
        <w:t xml:space="preserve">                               </w:t>
      </w:r>
      <w:r w:rsidRPr="005B6337">
        <w:rPr>
          <w:rFonts w:ascii="URW Palladio UNI" w:hAnsi="URW Palladio UNI"/>
          <w:noProof/>
          <w:sz w:val="24"/>
          <w:szCs w:val="24"/>
          <w:lang w:eastAsia="fr-FR" w:bidi="hi-IN"/>
        </w:rPr>
        <w:drawing>
          <wp:inline distT="0" distB="0" distL="0" distR="0">
            <wp:extent cx="1254499" cy="1184804"/>
            <wp:effectExtent l="19050" t="0" r="2801" b="0"/>
            <wp:docPr id="2" name="Image 1" descr="illustrations, cliparts, dessins animés et icônes de mehndi sarasvati (vecteur - sarasv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s, cliparts, dessins animés et icônes de mehndi sarasvati (vecteur - sarasvati"/>
                    <pic:cNvPicPr>
                      <a:picLocks noChangeAspect="1" noChangeArrowheads="1"/>
                    </pic:cNvPicPr>
                  </pic:nvPicPr>
                  <pic:blipFill>
                    <a:blip r:embed="rId5" cstate="print"/>
                    <a:srcRect/>
                    <a:stretch>
                      <a:fillRect/>
                    </a:stretch>
                  </pic:blipFill>
                  <pic:spPr bwMode="auto">
                    <a:xfrm>
                      <a:off x="0" y="0"/>
                      <a:ext cx="1256446" cy="1186643"/>
                    </a:xfrm>
                    <a:prstGeom prst="rect">
                      <a:avLst/>
                    </a:prstGeom>
                    <a:noFill/>
                    <a:ln w="9525">
                      <a:noFill/>
                      <a:miter lim="800000"/>
                      <a:headEnd/>
                      <a:tailEnd/>
                    </a:ln>
                  </pic:spPr>
                </pic:pic>
              </a:graphicData>
            </a:graphic>
          </wp:inline>
        </w:drawing>
      </w:r>
      <w:r>
        <w:rPr>
          <w:rFonts w:ascii="URW Palladio UNI" w:hAnsi="URW Palladio UNI"/>
          <w:sz w:val="24"/>
          <w:szCs w:val="24"/>
        </w:rPr>
        <w:t xml:space="preserve">                           </w:t>
      </w:r>
      <w:r w:rsidRPr="005B6337">
        <w:rPr>
          <w:rFonts w:ascii="URW Palladio UNI" w:hAnsi="URW Palladio UNI"/>
          <w:noProof/>
          <w:sz w:val="24"/>
          <w:szCs w:val="24"/>
          <w:lang w:eastAsia="fr-FR" w:bidi="hi-IN"/>
        </w:rPr>
        <w:drawing>
          <wp:inline distT="0" distB="0" distL="0" distR="0">
            <wp:extent cx="1083945" cy="956945"/>
            <wp:effectExtent l="19050" t="0" r="1905" b="0"/>
            <wp:docPr id="3" name="Image 4" descr="C:\Users\imac\Desktop\logo CP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mac\Desktop\logo CPAF.jpg"/>
                    <pic:cNvPicPr>
                      <a:picLocks noChangeAspect="1" noChangeArrowheads="1"/>
                    </pic:cNvPicPr>
                  </pic:nvPicPr>
                  <pic:blipFill>
                    <a:blip r:embed="rId6" cstate="print"/>
                    <a:srcRect/>
                    <a:stretch>
                      <a:fillRect/>
                    </a:stretch>
                  </pic:blipFill>
                  <pic:spPr bwMode="auto">
                    <a:xfrm>
                      <a:off x="0" y="0"/>
                      <a:ext cx="1083945" cy="956945"/>
                    </a:xfrm>
                    <a:prstGeom prst="rect">
                      <a:avLst/>
                    </a:prstGeom>
                    <a:noFill/>
                    <a:ln w="9525">
                      <a:noFill/>
                      <a:miter lim="800000"/>
                      <a:headEnd/>
                      <a:tailEnd/>
                    </a:ln>
                  </pic:spPr>
                </pic:pic>
              </a:graphicData>
            </a:graphic>
          </wp:inline>
        </w:drawing>
      </w:r>
    </w:p>
    <w:p w:rsidR="0036788E" w:rsidRDefault="0036788E" w:rsidP="00715EE8">
      <w:pPr>
        <w:spacing w:after="0"/>
        <w:rPr>
          <w:rFonts w:ascii="URW Palladio UNI" w:hAnsi="URW Palladio UNI"/>
          <w:sz w:val="24"/>
          <w:szCs w:val="24"/>
        </w:rPr>
      </w:pPr>
    </w:p>
    <w:p w:rsidR="0036788E" w:rsidRDefault="0036788E" w:rsidP="00715EE8">
      <w:pPr>
        <w:spacing w:after="0"/>
        <w:rPr>
          <w:rFonts w:ascii="URW Palladio UNI" w:hAnsi="URW Palladio UNI"/>
          <w:sz w:val="24"/>
          <w:szCs w:val="24"/>
        </w:rPr>
      </w:pPr>
    </w:p>
    <w:p w:rsidR="0036788E" w:rsidRDefault="0036788E" w:rsidP="00715EE8">
      <w:pPr>
        <w:spacing w:after="0"/>
        <w:rPr>
          <w:rFonts w:ascii="URW Palladio UNI" w:hAnsi="URW Palladio UNI"/>
          <w:sz w:val="24"/>
          <w:szCs w:val="24"/>
        </w:rPr>
      </w:pPr>
    </w:p>
    <w:p w:rsidR="0036788E" w:rsidRDefault="0036788E" w:rsidP="00715EE8">
      <w:pPr>
        <w:spacing w:after="0"/>
        <w:rPr>
          <w:rFonts w:ascii="URW Palladio UNI" w:hAnsi="URW Palladio UNI"/>
          <w:sz w:val="24"/>
          <w:szCs w:val="24"/>
        </w:rPr>
      </w:pPr>
    </w:p>
    <w:p w:rsidR="005B6337" w:rsidRDefault="005B6337" w:rsidP="00715EE8">
      <w:pPr>
        <w:spacing w:after="0"/>
        <w:rPr>
          <w:rFonts w:ascii="URW Palladio UNI" w:hAnsi="URW Palladio UNI"/>
          <w:sz w:val="24"/>
          <w:szCs w:val="24"/>
        </w:rPr>
      </w:pPr>
    </w:p>
    <w:p w:rsidR="005B6337" w:rsidRPr="00381985" w:rsidRDefault="00381985" w:rsidP="00381985">
      <w:pPr>
        <w:spacing w:after="0"/>
        <w:jc w:val="center"/>
        <w:rPr>
          <w:rFonts w:ascii="URW Palladio UNI" w:hAnsi="URW Palladio UNI"/>
          <w:b/>
          <w:bCs/>
          <w:sz w:val="24"/>
          <w:szCs w:val="24"/>
        </w:rPr>
      </w:pPr>
      <w:r w:rsidRPr="00381985">
        <w:rPr>
          <w:rFonts w:ascii="URW Palladio UNI" w:hAnsi="URW Palladio UNI"/>
          <w:b/>
          <w:bCs/>
          <w:sz w:val="24"/>
          <w:szCs w:val="24"/>
        </w:rPr>
        <w:t>Académie des langues de l’Inde, session de juillet 2022-04-01</w:t>
      </w:r>
    </w:p>
    <w:p w:rsidR="00381985" w:rsidRDefault="00381985" w:rsidP="00715EE8">
      <w:pPr>
        <w:spacing w:after="0"/>
        <w:rPr>
          <w:rFonts w:ascii="URW Palladio UNI" w:hAnsi="URW Palladio UNI"/>
          <w:sz w:val="24"/>
          <w:szCs w:val="24"/>
        </w:rPr>
      </w:pPr>
    </w:p>
    <w:p w:rsidR="00381985" w:rsidRDefault="00381985" w:rsidP="00715EE8">
      <w:pPr>
        <w:spacing w:after="0"/>
        <w:rPr>
          <w:rFonts w:ascii="URW Palladio UNI" w:hAnsi="URW Palladio UNI"/>
          <w:sz w:val="24"/>
          <w:szCs w:val="24"/>
        </w:rPr>
      </w:pPr>
    </w:p>
    <w:p w:rsidR="00381985" w:rsidRDefault="00381985" w:rsidP="00053F42">
      <w:pPr>
        <w:spacing w:after="120"/>
        <w:jc w:val="both"/>
        <w:rPr>
          <w:rFonts w:ascii="URW Palladio UNI" w:hAnsi="URW Palladio UNI"/>
          <w:sz w:val="24"/>
          <w:szCs w:val="24"/>
        </w:rPr>
      </w:pPr>
      <w:r>
        <w:rPr>
          <w:rFonts w:ascii="URW Palladio UNI" w:hAnsi="URW Palladio UNI"/>
          <w:sz w:val="24"/>
          <w:szCs w:val="24"/>
        </w:rPr>
        <w:t>L’Académie des langues de l’Inde (ALI), qui est une branche de l’Académie des langues anciennes, est soutenue par l’UMR 7297, « CPAF »</w:t>
      </w:r>
      <w:r w:rsidR="001B3AB3">
        <w:rPr>
          <w:rFonts w:ascii="URW Palladio UNI" w:hAnsi="URW Palladio UNI"/>
          <w:sz w:val="24"/>
          <w:szCs w:val="24"/>
        </w:rPr>
        <w:t>, CNRS-Université d’Aix-Marseille</w:t>
      </w:r>
      <w:r>
        <w:rPr>
          <w:rFonts w:ascii="URW Palladio UNI" w:hAnsi="URW Palladio UNI"/>
          <w:sz w:val="24"/>
          <w:szCs w:val="24"/>
        </w:rPr>
        <w:t xml:space="preserve">. Elle se tiendra cette année à </w:t>
      </w:r>
      <w:r w:rsidRPr="00381985">
        <w:rPr>
          <w:rFonts w:ascii="URW Palladio UNI" w:hAnsi="URW Palladio UNI"/>
          <w:b/>
          <w:bCs/>
          <w:sz w:val="24"/>
          <w:szCs w:val="24"/>
        </w:rPr>
        <w:t>Aix-en-Provence, à la Maison méditerranéenne des sciences de l’homme, du lundi 11 au samedi 16 juillet.</w:t>
      </w:r>
      <w:r>
        <w:rPr>
          <w:rFonts w:ascii="URW Palladio UNI" w:hAnsi="URW Palladio UNI"/>
          <w:sz w:val="24"/>
          <w:szCs w:val="24"/>
        </w:rPr>
        <w:t xml:space="preserve"> </w:t>
      </w:r>
    </w:p>
    <w:p w:rsidR="00053F42" w:rsidRDefault="00053F42" w:rsidP="00053F42">
      <w:pPr>
        <w:spacing w:after="120"/>
        <w:jc w:val="both"/>
        <w:rPr>
          <w:rFonts w:ascii="URW Palladio UNI" w:hAnsi="URW Palladio UNI"/>
          <w:sz w:val="24"/>
          <w:szCs w:val="24"/>
        </w:rPr>
      </w:pPr>
      <w:r>
        <w:rPr>
          <w:rFonts w:ascii="URW Palladio UNI" w:hAnsi="URW Palladio UNI"/>
          <w:sz w:val="24"/>
          <w:szCs w:val="24"/>
        </w:rPr>
        <w:t xml:space="preserve">L’ALI accueille toute personne, chercheur, doctorant, étudiant, auditeur libre qui souhaite se perfectionner dans la connaissance des langues indiennes et la lecture des textes. La seule condition est de posséder quelques bases en sanskrit : lire la </w:t>
      </w:r>
      <w:proofErr w:type="spellStart"/>
      <w:r>
        <w:rPr>
          <w:rFonts w:ascii="URW Palladio UNI" w:hAnsi="URW Palladio UNI"/>
          <w:sz w:val="24"/>
          <w:szCs w:val="24"/>
        </w:rPr>
        <w:t>Nāgarī</w:t>
      </w:r>
      <w:proofErr w:type="spellEnd"/>
      <w:r>
        <w:rPr>
          <w:rFonts w:ascii="URW Palladio UNI" w:hAnsi="URW Palladio UNI"/>
          <w:sz w:val="24"/>
          <w:szCs w:val="24"/>
        </w:rPr>
        <w:t xml:space="preserve">, connaître les rudiments de la grammaire. </w:t>
      </w:r>
    </w:p>
    <w:p w:rsidR="00381985" w:rsidRDefault="00381985" w:rsidP="00053F42">
      <w:pPr>
        <w:spacing w:after="120"/>
        <w:jc w:val="both"/>
        <w:rPr>
          <w:rFonts w:ascii="URW Palladio UNI" w:hAnsi="URW Palladio UNI"/>
          <w:sz w:val="24"/>
          <w:szCs w:val="24"/>
        </w:rPr>
      </w:pPr>
      <w:r>
        <w:rPr>
          <w:rFonts w:ascii="URW Palladio UNI" w:hAnsi="URW Palladio UNI"/>
          <w:sz w:val="24"/>
          <w:szCs w:val="24"/>
        </w:rPr>
        <w:t>Elle repose sur les trois principes suivants : (1) nécessité, pour les études indiennes, d’une formation multilinguistique ; (2) possibilité d’acquérir rapidement</w:t>
      </w:r>
      <w:r w:rsidR="001B3AB3">
        <w:rPr>
          <w:rFonts w:ascii="URW Palladio UNI" w:hAnsi="URW Palladio UNI"/>
          <w:sz w:val="24"/>
          <w:szCs w:val="24"/>
        </w:rPr>
        <w:t>, quand on possède les bases du sanskrit,</w:t>
      </w:r>
      <w:r>
        <w:rPr>
          <w:rFonts w:ascii="URW Palladio UNI" w:hAnsi="URW Palladio UNI"/>
          <w:sz w:val="24"/>
          <w:szCs w:val="24"/>
        </w:rPr>
        <w:t xml:space="preserve"> une compétence dans des langues </w:t>
      </w:r>
      <w:r w:rsidR="001B3AB3">
        <w:rPr>
          <w:rFonts w:ascii="URW Palladio UNI" w:hAnsi="URW Palladio UNI"/>
          <w:sz w:val="24"/>
          <w:szCs w:val="24"/>
        </w:rPr>
        <w:t xml:space="preserve">qui lui sont </w:t>
      </w:r>
      <w:r>
        <w:rPr>
          <w:rFonts w:ascii="URW Palladio UNI" w:hAnsi="URW Palladio UNI"/>
          <w:sz w:val="24"/>
          <w:szCs w:val="24"/>
        </w:rPr>
        <w:t>étroitement a</w:t>
      </w:r>
      <w:r w:rsidR="001B3AB3">
        <w:rPr>
          <w:rFonts w:ascii="URW Palladio UNI" w:hAnsi="URW Palladio UNI"/>
          <w:sz w:val="24"/>
          <w:szCs w:val="24"/>
        </w:rPr>
        <w:t>pparentées</w:t>
      </w:r>
      <w:r>
        <w:rPr>
          <w:rFonts w:ascii="URW Palladio UNI" w:hAnsi="URW Palladio UNI"/>
          <w:sz w:val="24"/>
          <w:szCs w:val="24"/>
        </w:rPr>
        <w:t> ; (3) apprentissage par la lecture des textes. De ce fait, elle offre à chacun trois séances journalières, consacrées cette année à la langue védique</w:t>
      </w:r>
      <w:r w:rsidR="00053F42">
        <w:rPr>
          <w:rFonts w:ascii="URW Palladio UNI" w:hAnsi="URW Palladio UNI"/>
          <w:sz w:val="24"/>
          <w:szCs w:val="24"/>
        </w:rPr>
        <w:t xml:space="preserve"> (Mme Carmen SPIERS)</w:t>
      </w:r>
      <w:r>
        <w:rPr>
          <w:rFonts w:ascii="URW Palladio UNI" w:hAnsi="URW Palladio UNI"/>
          <w:sz w:val="24"/>
          <w:szCs w:val="24"/>
        </w:rPr>
        <w:t>, à un prakrit</w:t>
      </w:r>
      <w:r w:rsidR="00053F42">
        <w:rPr>
          <w:rFonts w:ascii="URW Palladio UNI" w:hAnsi="URW Palladio UNI"/>
          <w:sz w:val="24"/>
          <w:szCs w:val="24"/>
        </w:rPr>
        <w:t xml:space="preserve"> (Mme Melinda FODOR)</w:t>
      </w:r>
      <w:r>
        <w:rPr>
          <w:rFonts w:ascii="URW Palladio UNI" w:hAnsi="URW Palladio UNI"/>
          <w:sz w:val="24"/>
          <w:szCs w:val="24"/>
        </w:rPr>
        <w:t>, au sanskrit classique</w:t>
      </w:r>
      <w:r w:rsidR="00053F42">
        <w:rPr>
          <w:rFonts w:ascii="URW Palladio UNI" w:hAnsi="URW Palladio UNI"/>
          <w:sz w:val="24"/>
          <w:szCs w:val="24"/>
        </w:rPr>
        <w:t xml:space="preserve"> (M. Sylvain BROCQUET)</w:t>
      </w:r>
      <w:r>
        <w:rPr>
          <w:rFonts w:ascii="URW Palladio UNI" w:hAnsi="URW Palladio UNI"/>
          <w:sz w:val="24"/>
          <w:szCs w:val="24"/>
        </w:rPr>
        <w:t>. Ces trois séances sont complétées par un atelier portant sur une des trois langues, que chacun est libre de choisir.</w:t>
      </w:r>
    </w:p>
    <w:p w:rsidR="00053F42" w:rsidRDefault="00053F42" w:rsidP="00381985">
      <w:pPr>
        <w:spacing w:after="0"/>
        <w:jc w:val="both"/>
        <w:rPr>
          <w:rFonts w:ascii="URW Palladio UNI" w:hAnsi="URW Palladio UNI"/>
          <w:sz w:val="24"/>
          <w:szCs w:val="24"/>
        </w:rPr>
      </w:pPr>
      <w:r>
        <w:rPr>
          <w:rFonts w:ascii="URW Palladio UNI" w:hAnsi="URW Palladio UNI"/>
          <w:sz w:val="24"/>
          <w:szCs w:val="24"/>
        </w:rPr>
        <w:t xml:space="preserve">La participation à l’Académie est gratuite. Il est simplement demandé aux participants de devenir membres de l’Académie des langues anciennes (cotisation annuelle : 20 €, 10 € pour les non-salariés). L’inscription préalable est nécessaire : contacter Sylvain BROCQUET, Université d’Aix-Marseille, </w:t>
      </w:r>
      <w:hyperlink r:id="rId7" w:history="1">
        <w:r w:rsidRPr="004D6E7F">
          <w:rPr>
            <w:rStyle w:val="Lienhypertexte"/>
            <w:rFonts w:ascii="URW Palladio UNI" w:hAnsi="URW Palladio UNI"/>
            <w:sz w:val="24"/>
            <w:szCs w:val="24"/>
          </w:rPr>
          <w:t>sylvain.brocquet@univ-amu.fr</w:t>
        </w:r>
      </w:hyperlink>
      <w:r>
        <w:rPr>
          <w:rFonts w:ascii="URW Palladio UNI" w:hAnsi="URW Palladio UNI"/>
          <w:sz w:val="24"/>
          <w:szCs w:val="24"/>
        </w:rPr>
        <w:t xml:space="preserve">, avec comme titre au message « ALI 2022 ». Date limite des inscriptions : </w:t>
      </w:r>
      <w:r w:rsidR="001B3AB3">
        <w:rPr>
          <w:rFonts w:ascii="URW Palladio UNI" w:hAnsi="URW Palladio UNI"/>
          <w:sz w:val="24"/>
          <w:szCs w:val="24"/>
        </w:rPr>
        <w:t>30</w:t>
      </w:r>
      <w:r>
        <w:rPr>
          <w:rFonts w:ascii="URW Palladio UNI" w:hAnsi="URW Palladio UNI"/>
          <w:sz w:val="24"/>
          <w:szCs w:val="24"/>
        </w:rPr>
        <w:t xml:space="preserve"> avril. Les textes et les supports didactiques seront envoyés aux inscrits quelque temps avant la session.</w:t>
      </w:r>
    </w:p>
    <w:p w:rsidR="00381985" w:rsidRDefault="00381985" w:rsidP="00381985">
      <w:pPr>
        <w:spacing w:after="0"/>
        <w:jc w:val="both"/>
        <w:rPr>
          <w:rFonts w:ascii="URW Palladio UNI" w:hAnsi="URW Palladio UNI"/>
          <w:sz w:val="24"/>
          <w:szCs w:val="24"/>
        </w:rPr>
      </w:pPr>
    </w:p>
    <w:p w:rsidR="005B6337" w:rsidRDefault="005B6337" w:rsidP="00715EE8">
      <w:pPr>
        <w:spacing w:after="0"/>
        <w:rPr>
          <w:rFonts w:ascii="URW Palladio UNI" w:hAnsi="URW Palladio UNI"/>
          <w:sz w:val="24"/>
          <w:szCs w:val="24"/>
        </w:rPr>
      </w:pPr>
    </w:p>
    <w:p w:rsidR="005B6337" w:rsidRPr="00715EE8" w:rsidRDefault="005B6337" w:rsidP="00715EE8">
      <w:pPr>
        <w:spacing w:after="0"/>
        <w:rPr>
          <w:rFonts w:ascii="URW Palladio UNI" w:hAnsi="URW Palladio UNI"/>
          <w:sz w:val="24"/>
          <w:szCs w:val="24"/>
        </w:rPr>
      </w:pPr>
    </w:p>
    <w:sectPr w:rsidR="005B6337" w:rsidRPr="00715EE8" w:rsidSect="007D2B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RW Palladio UNI">
    <w:panose1 w:val="02000503070000020004"/>
    <w:charset w:val="00"/>
    <w:family w:val="auto"/>
    <w:pitch w:val="variable"/>
    <w:sig w:usb0="A000002F" w:usb1="00000000" w:usb2="00000000" w:usb3="00000000" w:csb0="00000083"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attachedTemplate r:id="rId1"/>
  <w:defaultTabStop w:val="708"/>
  <w:hyphenationZone w:val="425"/>
  <w:characterSpacingControl w:val="doNotCompress"/>
  <w:compat/>
  <w:rsids>
    <w:rsidRoot w:val="005B6337"/>
    <w:rsid w:val="00053F42"/>
    <w:rsid w:val="00065B45"/>
    <w:rsid w:val="001B3AB3"/>
    <w:rsid w:val="0036788E"/>
    <w:rsid w:val="00381985"/>
    <w:rsid w:val="003C2DCE"/>
    <w:rsid w:val="0045362B"/>
    <w:rsid w:val="005B6337"/>
    <w:rsid w:val="006822D5"/>
    <w:rsid w:val="006B7A78"/>
    <w:rsid w:val="00715EE8"/>
    <w:rsid w:val="00732CBA"/>
    <w:rsid w:val="007C318D"/>
    <w:rsid w:val="007D2BE5"/>
    <w:rsid w:val="00D60690"/>
    <w:rsid w:val="00D906C5"/>
    <w:rsid w:val="00EF4597"/>
  </w:rsids>
  <m:mathPr>
    <m:mathFont m:val="Cambria Math"/>
    <m:brkBin m:val="before"/>
    <m:brkBinSub m:val="--"/>
    <m:smallFrac m:val="off"/>
    <m:dispDef/>
    <m:lMargin m:val="0"/>
    <m:rMargin m:val="0"/>
    <m:defJc m:val="centerGroup"/>
    <m:wrapIndent m:val="1440"/>
    <m:intLim m:val="subSup"/>
    <m:naryLim m:val="undOvr"/>
  </m:mathPr>
  <w:themeFontLang w:val="fr-FR"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6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B63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6337"/>
    <w:rPr>
      <w:rFonts w:ascii="Tahoma" w:hAnsi="Tahoma" w:cs="Tahoma"/>
      <w:sz w:val="16"/>
      <w:szCs w:val="16"/>
    </w:rPr>
  </w:style>
  <w:style w:type="character" w:styleId="Lienhypertexte">
    <w:name w:val="Hyperlink"/>
    <w:basedOn w:val="Policepardfaut"/>
    <w:uiPriority w:val="99"/>
    <w:unhideWhenUsed/>
    <w:rsid w:val="00053F4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ylvain.brocquet@univ-amu.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ac\Documents\Mod&#232;le%20pour%20skt%20translitt&#233;r&#23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pour skt translittéré.dotx</Template>
  <TotalTime>38</TotalTime>
  <Pages>1</Pages>
  <Words>298</Words>
  <Characters>1641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c:creator>
  <cp:lastModifiedBy>Sylvain Brocquet</cp:lastModifiedBy>
  <cp:revision>3</cp:revision>
  <dcterms:created xsi:type="dcterms:W3CDTF">2022-03-11T07:24:00Z</dcterms:created>
  <dcterms:modified xsi:type="dcterms:W3CDTF">2022-04-01T16:46:00Z</dcterms:modified>
</cp:coreProperties>
</file>